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color w:val="auto"/>
          <w:sz w:val="52"/>
          <w:szCs w:val="52"/>
          <w:highlight w:val="none"/>
        </w:rPr>
      </w:pPr>
      <w:bookmarkStart w:id="135" w:name="_GoBack"/>
      <w:bookmarkEnd w:id="135"/>
    </w:p>
    <w:p>
      <w:pPr>
        <w:numPr>
          <w:ilvl w:val="0"/>
          <w:numId w:val="0"/>
        </w:numPr>
        <w:ind w:leftChars="0"/>
        <w:jc w:val="center"/>
        <w:rPr>
          <w:rFonts w:hint="eastAsia" w:ascii="方正小标宋简体" w:hAnsi="方正小标宋简体" w:eastAsia="方正小标宋简体" w:cs="方正小标宋简体"/>
          <w:b w:val="0"/>
          <w:bCs w:val="0"/>
          <w:color w:val="auto"/>
          <w:sz w:val="52"/>
          <w:szCs w:val="52"/>
          <w:highlight w:val="none"/>
          <w:u w:val="none"/>
        </w:rPr>
      </w:pPr>
      <w:r>
        <w:rPr>
          <w:rFonts w:hint="eastAsia" w:ascii="方正小标宋简体" w:hAnsi="方正小标宋简体" w:eastAsia="方正小标宋简体" w:cs="方正小标宋简体"/>
          <w:color w:val="auto"/>
          <w:sz w:val="52"/>
          <w:szCs w:val="52"/>
          <w:highlight w:val="none"/>
          <w:u w:val="none"/>
          <w:lang w:eastAsia="zh-CN"/>
        </w:rPr>
        <w:t>广州市净水有限公司</w:t>
      </w:r>
      <w:r>
        <w:rPr>
          <w:rFonts w:hint="eastAsia" w:ascii="方正小标宋简体" w:hAnsi="方正小标宋简体" w:eastAsia="方正小标宋简体" w:cs="方正小标宋简体"/>
          <w:b w:val="0"/>
          <w:bCs w:val="0"/>
          <w:color w:val="auto"/>
          <w:sz w:val="52"/>
          <w:szCs w:val="52"/>
          <w:highlight w:val="none"/>
          <w:u w:val="none"/>
        </w:rPr>
        <w:t>大坦沙分公司</w:t>
      </w:r>
    </w:p>
    <w:p>
      <w:pPr>
        <w:numPr>
          <w:ilvl w:val="0"/>
          <w:numId w:val="0"/>
        </w:numPr>
        <w:ind w:leftChars="0"/>
        <w:jc w:val="center"/>
        <w:rPr>
          <w:rFonts w:hint="eastAsia" w:ascii="方正小标宋简体" w:hAnsi="方正小标宋简体" w:eastAsia="方正小标宋简体" w:cs="方正小标宋简体"/>
          <w:b w:val="0"/>
          <w:bCs w:val="0"/>
          <w:color w:val="auto"/>
          <w:sz w:val="52"/>
          <w:szCs w:val="52"/>
          <w:highlight w:val="none"/>
          <w:u w:val="none"/>
        </w:rPr>
      </w:pPr>
      <w:r>
        <w:rPr>
          <w:rFonts w:hint="eastAsia" w:ascii="方正小标宋简体" w:hAnsi="方正小标宋简体" w:eastAsia="方正小标宋简体" w:cs="方正小标宋简体"/>
          <w:b w:val="0"/>
          <w:bCs w:val="0"/>
          <w:color w:val="auto"/>
          <w:sz w:val="52"/>
          <w:szCs w:val="52"/>
          <w:highlight w:val="none"/>
          <w:u w:val="none"/>
        </w:rPr>
        <w:t>三期滤池超越阀电动执行器优化等项目</w:t>
      </w:r>
    </w:p>
    <w:p>
      <w:pPr>
        <w:numPr>
          <w:ilvl w:val="0"/>
          <w:numId w:val="0"/>
        </w:numPr>
        <w:ind w:leftChars="0"/>
        <w:jc w:val="center"/>
        <w:rPr>
          <w:rFonts w:hint="eastAsia" w:ascii="方正小标宋简体" w:hAnsi="方正小标宋简体" w:eastAsia="方正小标宋简体" w:cs="方正小标宋简体"/>
          <w:b w:val="0"/>
          <w:bCs w:val="0"/>
          <w:color w:val="auto"/>
          <w:sz w:val="52"/>
          <w:szCs w:val="52"/>
          <w:highlight w:val="none"/>
          <w:u w:val="none"/>
        </w:rPr>
      </w:pPr>
    </w:p>
    <w:p>
      <w:pPr>
        <w:numPr>
          <w:ilvl w:val="0"/>
          <w:numId w:val="0"/>
        </w:numPr>
        <w:ind w:leftChars="0"/>
        <w:jc w:val="center"/>
        <w:rPr>
          <w:rFonts w:hint="eastAsia" w:ascii="方正小标宋简体" w:hAnsi="方正小标宋简体" w:eastAsia="方正小标宋简体" w:cs="方正小标宋简体"/>
          <w:sz w:val="52"/>
          <w:szCs w:val="52"/>
        </w:rPr>
      </w:pPr>
      <w:r>
        <w:rPr>
          <w:rFonts w:hint="eastAsia" w:ascii="方正小标宋简体" w:hAnsi="方正小标宋简体" w:eastAsia="方正小标宋简体" w:cs="方正小标宋简体"/>
          <w:sz w:val="52"/>
          <w:szCs w:val="52"/>
        </w:rPr>
        <w:t>采购文件</w:t>
      </w: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both"/>
        <w:rPr>
          <w:rFonts w:ascii="仿宋_GB2312" w:eastAsia="仿宋_GB2312"/>
          <w:color w:val="auto"/>
          <w:sz w:val="32"/>
          <w:szCs w:val="32"/>
          <w:highlight w:val="none"/>
        </w:rPr>
      </w:pPr>
    </w:p>
    <w:p>
      <w:pPr>
        <w:jc w:val="both"/>
        <w:rPr>
          <w:rFonts w:hint="eastAsia"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hint="eastAsia" w:ascii="黑体" w:hAnsi="黑体" w:eastAsia="黑体"/>
          <w:color w:val="auto"/>
          <w:sz w:val="32"/>
          <w:szCs w:val="32"/>
          <w:highlight w:val="none"/>
        </w:rPr>
      </w:pPr>
      <w:r>
        <w:rPr>
          <w:rFonts w:hint="eastAsia" w:ascii="黑体" w:hAnsi="黑体" w:eastAsia="黑体" w:cs="仿宋_GB2312"/>
          <w:color w:val="auto"/>
          <w:sz w:val="32"/>
          <w:szCs w:val="32"/>
          <w:highlight w:val="none"/>
          <w:lang w:val="en-US" w:eastAsia="zh-CN"/>
        </w:rPr>
        <w:t>广州市净水有限公司</w:t>
      </w:r>
    </w:p>
    <w:p>
      <w:pPr>
        <w:jc w:val="center"/>
        <w:rPr>
          <w:rFonts w:hint="eastAsia" w:ascii="黑体" w:hAnsi="黑体" w:eastAsia="黑体" w:cs="仿宋_GB2312"/>
          <w:color w:val="auto"/>
          <w:sz w:val="32"/>
          <w:szCs w:val="32"/>
          <w:highlight w:val="none"/>
        </w:rPr>
      </w:pPr>
      <w:r>
        <w:rPr>
          <w:rFonts w:hint="eastAsia" w:ascii="黑体" w:hAnsi="黑体" w:eastAsia="黑体"/>
          <w:color w:val="auto"/>
          <w:sz w:val="32"/>
          <w:szCs w:val="32"/>
          <w:highlight w:val="none"/>
        </w:rPr>
        <w:t>二</w:t>
      </w:r>
      <w:r>
        <w:rPr>
          <w:rFonts w:hint="eastAsia" w:ascii="黑体" w:hAnsi="黑体" w:eastAsia="黑体" w:cs="宋体"/>
          <w:color w:val="auto"/>
          <w:sz w:val="32"/>
          <w:szCs w:val="32"/>
          <w:highlight w:val="none"/>
        </w:rPr>
        <w:t>〇</w:t>
      </w:r>
      <w:r>
        <w:rPr>
          <w:rFonts w:hint="eastAsia" w:ascii="黑体" w:hAnsi="黑体" w:eastAsia="黑体" w:cs="仿宋_GB2312"/>
          <w:color w:val="auto"/>
          <w:sz w:val="32"/>
          <w:szCs w:val="32"/>
          <w:highlight w:val="none"/>
        </w:rPr>
        <w:t>二</w:t>
      </w:r>
      <w:r>
        <w:rPr>
          <w:rFonts w:hint="eastAsia" w:ascii="黑体" w:hAnsi="黑体" w:eastAsia="黑体" w:cs="仿宋_GB2312"/>
          <w:color w:val="auto"/>
          <w:sz w:val="32"/>
          <w:szCs w:val="32"/>
          <w:highlight w:val="none"/>
          <w:lang w:val="en-US" w:eastAsia="zh-CN"/>
        </w:rPr>
        <w:t>四</w:t>
      </w:r>
      <w:r>
        <w:rPr>
          <w:rFonts w:hint="eastAsia" w:ascii="黑体" w:hAnsi="黑体" w:eastAsia="黑体" w:cs="仿宋_GB2312"/>
          <w:color w:val="auto"/>
          <w:sz w:val="32"/>
          <w:szCs w:val="32"/>
          <w:highlight w:val="none"/>
        </w:rPr>
        <w:t>年</w:t>
      </w:r>
      <w:r>
        <w:rPr>
          <w:rFonts w:hint="eastAsia" w:ascii="黑体" w:hAnsi="黑体" w:eastAsia="黑体" w:cs="仿宋_GB2312"/>
          <w:color w:val="auto"/>
          <w:sz w:val="32"/>
          <w:szCs w:val="32"/>
          <w:highlight w:val="none"/>
          <w:lang w:val="en-US" w:eastAsia="zh-CN"/>
        </w:rPr>
        <w:t>十</w:t>
      </w:r>
      <w:r>
        <w:rPr>
          <w:rFonts w:hint="eastAsia" w:ascii="黑体" w:hAnsi="黑体" w:eastAsia="黑体" w:cs="仿宋_GB2312"/>
          <w:color w:val="auto"/>
          <w:sz w:val="32"/>
          <w:szCs w:val="32"/>
          <w:highlight w:val="none"/>
        </w:rPr>
        <w:t>月</w:t>
      </w:r>
    </w:p>
    <w:p>
      <w:pPr>
        <w:rPr>
          <w:color w:val="auto"/>
          <w:highlight w:val="none"/>
        </w:rPr>
        <w:sectPr>
          <w:headerReference r:id="rId3" w:type="first"/>
          <w:footerReference r:id="rId4" w:type="default"/>
          <w:pgSz w:w="11906" w:h="16838"/>
          <w:pgMar w:top="2098" w:right="1474" w:bottom="1985" w:left="1588" w:header="851" w:footer="992" w:gutter="0"/>
          <w:pgNumType w:start="0"/>
          <w:cols w:space="425" w:num="1"/>
          <w:titlePg/>
          <w:docGrid w:type="lines" w:linePitch="312" w:charSpace="0"/>
        </w:sectPr>
      </w:pPr>
    </w:p>
    <w:p>
      <w:pPr>
        <w:rPr>
          <w:color w:val="auto"/>
          <w:highlight w:val="none"/>
        </w:rPr>
      </w:pPr>
    </w:p>
    <w:p>
      <w:pPr>
        <w:pStyle w:val="36"/>
        <w:adjustRightInd w:val="0"/>
        <w:snapToGrid w:val="0"/>
        <w:spacing w:before="0" w:line="600" w:lineRule="exact"/>
        <w:jc w:val="center"/>
        <w:rPr>
          <w:rFonts w:hint="default" w:ascii="方正小标宋简体" w:eastAsia="方正小标宋简体"/>
          <w:b/>
          <w:color w:val="auto"/>
          <w:sz w:val="44"/>
          <w:szCs w:val="44"/>
          <w:highlight w:val="none"/>
          <w:lang w:val="en-US" w:eastAsia="zh-CN"/>
        </w:rPr>
      </w:pPr>
      <w:r>
        <w:rPr>
          <w:rFonts w:hint="eastAsia" w:ascii="方正小标宋简体" w:eastAsia="方正小标宋简体"/>
          <w:b/>
          <w:color w:val="auto"/>
          <w:sz w:val="44"/>
          <w:szCs w:val="44"/>
          <w:highlight w:val="none"/>
          <w:lang w:val="en-US" w:eastAsia="zh-CN"/>
        </w:rPr>
        <w:t>目录</w:t>
      </w:r>
    </w:p>
    <w:p>
      <w:pPr>
        <w:rPr>
          <w:rFonts w:asciiTheme="minorEastAsia" w:hAnsiTheme="minorEastAsia"/>
          <w:color w:val="auto"/>
          <w:sz w:val="24"/>
          <w:szCs w:val="24"/>
          <w:highlight w:val="none"/>
        </w:rPr>
      </w:pPr>
    </w:p>
    <w:p>
      <w:pPr>
        <w:pStyle w:val="20"/>
        <w:numPr>
          <w:ilvl w:val="0"/>
          <w:numId w:val="1"/>
        </w:numPr>
        <w:tabs>
          <w:tab w:val="right" w:pos="8844"/>
        </w:tabs>
        <w:rPr>
          <w:rFonts w:hint="eastAsia"/>
          <w:color w:val="auto"/>
          <w:highlight w:val="none"/>
          <w:lang w:val="en-US" w:eastAsia="zh-CN"/>
        </w:rPr>
      </w:pPr>
      <w:r>
        <w:rPr>
          <w:rFonts w:hint="eastAsia"/>
          <w:color w:val="auto"/>
          <w:highlight w:val="none"/>
          <w:lang w:val="en-US" w:eastAsia="zh-CN"/>
        </w:rPr>
        <w:t>采购公告（采购邀请书）</w:t>
      </w:r>
    </w:p>
    <w:p>
      <w:pPr>
        <w:pStyle w:val="20"/>
        <w:numPr>
          <w:ilvl w:val="0"/>
          <w:numId w:val="1"/>
        </w:numPr>
        <w:tabs>
          <w:tab w:val="right" w:pos="8844"/>
        </w:tabs>
        <w:rPr>
          <w:color w:val="auto"/>
          <w:highlight w:val="none"/>
        </w:rPr>
      </w:pPr>
      <w:r>
        <w:rPr>
          <w:rFonts w:hint="eastAsia"/>
          <w:color w:val="auto"/>
          <w:highlight w:val="none"/>
          <w:lang w:val="en-US" w:eastAsia="zh-CN"/>
        </w:rPr>
        <w:t>供应商须知</w:t>
      </w:r>
    </w:p>
    <w:p>
      <w:pPr>
        <w:pStyle w:val="20"/>
        <w:numPr>
          <w:ilvl w:val="0"/>
          <w:numId w:val="1"/>
        </w:numPr>
        <w:tabs>
          <w:tab w:val="right" w:pos="8844"/>
        </w:tabs>
        <w:rPr>
          <w:color w:val="auto"/>
          <w:highlight w:val="none"/>
        </w:rPr>
      </w:pPr>
      <w:r>
        <w:rPr>
          <w:rFonts w:hint="eastAsia"/>
          <w:color w:val="auto"/>
          <w:highlight w:val="none"/>
          <w:lang w:val="en-US" w:eastAsia="zh-CN"/>
        </w:rPr>
        <w:t>采购方法</w:t>
      </w:r>
    </w:p>
    <w:p>
      <w:pPr>
        <w:pStyle w:val="20"/>
        <w:numPr>
          <w:ilvl w:val="0"/>
          <w:numId w:val="1"/>
        </w:numPr>
        <w:tabs>
          <w:tab w:val="right" w:pos="8844"/>
        </w:tabs>
        <w:rPr>
          <w:color w:val="auto"/>
          <w:highlight w:val="none"/>
        </w:rPr>
      </w:pPr>
      <w:r>
        <w:rPr>
          <w:rFonts w:hint="eastAsia"/>
          <w:color w:val="auto"/>
          <w:highlight w:val="none"/>
          <w:lang w:val="en-US" w:eastAsia="zh-CN"/>
        </w:rPr>
        <w:t>评审方法</w:t>
      </w:r>
    </w:p>
    <w:p>
      <w:pPr>
        <w:pStyle w:val="20"/>
        <w:numPr>
          <w:ilvl w:val="0"/>
          <w:numId w:val="1"/>
        </w:numPr>
        <w:tabs>
          <w:tab w:val="right" w:pos="8844"/>
        </w:tabs>
        <w:rPr>
          <w:color w:val="auto"/>
          <w:highlight w:val="none"/>
        </w:rPr>
      </w:pPr>
      <w:r>
        <w:rPr>
          <w:rFonts w:hint="eastAsia"/>
          <w:color w:val="auto"/>
          <w:highlight w:val="none"/>
          <w:lang w:val="en-US" w:eastAsia="zh-CN"/>
        </w:rPr>
        <w:t>采购需求</w:t>
      </w:r>
    </w:p>
    <w:p>
      <w:pPr>
        <w:pStyle w:val="20"/>
        <w:numPr>
          <w:ilvl w:val="0"/>
          <w:numId w:val="1"/>
        </w:numPr>
        <w:tabs>
          <w:tab w:val="right" w:pos="8844"/>
        </w:tabs>
        <w:rPr>
          <w:color w:val="auto"/>
          <w:highlight w:val="none"/>
        </w:rPr>
      </w:pPr>
      <w:r>
        <w:rPr>
          <w:rFonts w:hint="eastAsia"/>
          <w:color w:val="auto"/>
          <w:highlight w:val="none"/>
        </w:rPr>
        <w:t>合同草案</w:t>
      </w:r>
    </w:p>
    <w:p>
      <w:pPr>
        <w:pStyle w:val="20"/>
        <w:numPr>
          <w:ilvl w:val="0"/>
          <w:numId w:val="1"/>
        </w:numPr>
        <w:tabs>
          <w:tab w:val="right" w:pos="8844"/>
        </w:tabs>
        <w:rPr>
          <w:color w:val="auto"/>
          <w:highlight w:val="none"/>
        </w:rPr>
      </w:pPr>
      <w:r>
        <w:rPr>
          <w:rFonts w:hint="eastAsia"/>
          <w:color w:val="auto"/>
          <w:highlight w:val="none"/>
        </w:rPr>
        <w:t>响应文件格式要求</w:t>
      </w:r>
      <w:r>
        <w:rPr>
          <w:color w:val="auto"/>
          <w:highlight w:val="none"/>
        </w:rPr>
        <w:fldChar w:fldCharType="begin"/>
      </w:r>
      <w:r>
        <w:rPr>
          <w:color w:val="auto"/>
          <w:highlight w:val="none"/>
        </w:rPr>
        <w:instrText xml:space="preserve">TOC \o "1-1" \n  \h \u </w:instrText>
      </w:r>
      <w:r>
        <w:rPr>
          <w:color w:val="auto"/>
          <w:highlight w:val="none"/>
        </w:rPr>
        <w:fldChar w:fldCharType="separate"/>
      </w:r>
      <w:r>
        <w:rPr>
          <w:color w:val="auto"/>
          <w:highlight w:val="none"/>
        </w:rPr>
        <w:fldChar w:fldCharType="begin"/>
      </w:r>
      <w:r>
        <w:rPr>
          <w:color w:val="auto"/>
          <w:highlight w:val="none"/>
        </w:rPr>
        <w:instrText xml:space="preserve"> HYPERLINK \l _Toc18800 </w:instrText>
      </w:r>
      <w:r>
        <w:rPr>
          <w:color w:val="auto"/>
          <w:highlight w:val="none"/>
        </w:rPr>
        <w:fldChar w:fldCharType="separate"/>
      </w:r>
      <w:r>
        <w:rPr>
          <w:color w:val="auto"/>
          <w:highlight w:val="none"/>
        </w:rPr>
        <w:fldChar w:fldCharType="end"/>
      </w:r>
    </w:p>
    <w:p>
      <w:pPr>
        <w:pStyle w:val="20"/>
        <w:tabs>
          <w:tab w:val="right" w:pos="8844"/>
        </w:tabs>
        <w:rPr>
          <w:color w:val="auto"/>
          <w:highlight w:val="none"/>
        </w:rPr>
      </w:pPr>
      <w:r>
        <w:rPr>
          <w:color w:val="auto"/>
          <w:highlight w:val="none"/>
        </w:rPr>
        <w:fldChar w:fldCharType="begin"/>
      </w:r>
      <w:r>
        <w:rPr>
          <w:color w:val="auto"/>
          <w:highlight w:val="none"/>
        </w:rPr>
        <w:instrText xml:space="preserve"> HYPERLINK \l _Toc5817 </w:instrText>
      </w:r>
      <w:r>
        <w:rPr>
          <w:color w:val="auto"/>
          <w:highlight w:val="none"/>
        </w:rPr>
        <w:fldChar w:fldCharType="separate"/>
      </w:r>
      <w:r>
        <w:rPr>
          <w:color w:val="auto"/>
          <w:highlight w:val="none"/>
        </w:rPr>
        <w:fldChar w:fldCharType="end"/>
      </w:r>
    </w:p>
    <w:p>
      <w:pPr>
        <w:pStyle w:val="20"/>
        <w:tabs>
          <w:tab w:val="right" w:pos="8844"/>
        </w:tabs>
        <w:rPr>
          <w:color w:val="auto"/>
          <w:highlight w:val="none"/>
        </w:rPr>
      </w:pPr>
      <w:r>
        <w:rPr>
          <w:color w:val="auto"/>
          <w:highlight w:val="none"/>
        </w:rPr>
        <w:fldChar w:fldCharType="begin"/>
      </w:r>
      <w:r>
        <w:rPr>
          <w:color w:val="auto"/>
          <w:highlight w:val="none"/>
        </w:rPr>
        <w:instrText xml:space="preserve"> HYPERLINK \l _Toc27928 </w:instrText>
      </w:r>
      <w:r>
        <w:rPr>
          <w:color w:val="auto"/>
          <w:highlight w:val="none"/>
        </w:rPr>
        <w:fldChar w:fldCharType="separate"/>
      </w:r>
      <w:r>
        <w:rPr>
          <w:color w:val="auto"/>
          <w:highlight w:val="none"/>
        </w:rPr>
        <w:fldChar w:fldCharType="end"/>
      </w:r>
    </w:p>
    <w:p>
      <w:pPr>
        <w:pStyle w:val="23"/>
        <w:rPr>
          <w:color w:val="auto"/>
          <w:highlight w:val="none"/>
        </w:rPr>
      </w:pPr>
      <w:r>
        <w:rPr>
          <w:color w:val="auto"/>
          <w:highlight w:val="none"/>
        </w:rPr>
        <w:fldChar w:fldCharType="end"/>
      </w:r>
    </w:p>
    <w:p>
      <w:pPr>
        <w:adjustRightInd w:val="0"/>
        <w:snapToGrid w:val="0"/>
        <w:spacing w:line="600" w:lineRule="exact"/>
        <w:ind w:firstLine="560" w:firstLineChars="200"/>
        <w:jc w:val="left"/>
        <w:rPr>
          <w:rFonts w:ascii="仿宋_GB2312" w:eastAsia="仿宋_GB2312"/>
          <w:color w:val="auto"/>
          <w:sz w:val="28"/>
          <w:szCs w:val="28"/>
          <w:highlight w:val="none"/>
        </w:rPr>
      </w:pPr>
    </w:p>
    <w:p>
      <w:pPr>
        <w:pStyle w:val="2"/>
        <w:rPr>
          <w:rFonts w:hint="eastAsia"/>
          <w:color w:val="auto"/>
          <w:highlight w:val="none"/>
        </w:rPr>
      </w:pPr>
      <w:bookmarkStart w:id="0" w:name="_Toc18145"/>
      <w:bookmarkStart w:id="1" w:name="_Toc26148"/>
    </w:p>
    <w:p>
      <w:pPr>
        <w:rPr>
          <w:rFonts w:hint="eastAsia"/>
          <w:color w:val="auto"/>
          <w:highlight w:val="none"/>
        </w:rPr>
      </w:pPr>
    </w:p>
    <w:p>
      <w:pPr>
        <w:pStyle w:val="2"/>
        <w:rPr>
          <w:rFonts w:hint="eastAsia"/>
          <w:color w:val="auto"/>
          <w:highlight w:val="none"/>
        </w:rPr>
      </w:pPr>
      <w:bookmarkStart w:id="2" w:name="_Toc1711"/>
      <w:bookmarkStart w:id="3" w:name="_Toc17696"/>
    </w:p>
    <w:p>
      <w:pPr>
        <w:rPr>
          <w:rFonts w:hint="eastAsia"/>
          <w:color w:val="auto"/>
          <w:highlight w:val="none"/>
        </w:rPr>
      </w:pPr>
    </w:p>
    <w:p>
      <w:pPr>
        <w:pStyle w:val="23"/>
        <w:rPr>
          <w:rFonts w:hint="eastAsia"/>
          <w:color w:val="auto"/>
          <w:highlight w:val="none"/>
        </w:rPr>
      </w:pPr>
    </w:p>
    <w:p>
      <w:pPr>
        <w:pStyle w:val="23"/>
        <w:rPr>
          <w:rFonts w:hint="eastAsia"/>
          <w:color w:val="auto"/>
          <w:highlight w:val="none"/>
        </w:rPr>
      </w:pPr>
    </w:p>
    <w:p>
      <w:pPr>
        <w:pStyle w:val="23"/>
        <w:rPr>
          <w:rFonts w:hint="eastAsia"/>
          <w:color w:val="auto"/>
          <w:highlight w:val="none"/>
        </w:rPr>
      </w:pPr>
    </w:p>
    <w:p>
      <w:pPr>
        <w:pStyle w:val="23"/>
        <w:rPr>
          <w:rFonts w:hint="eastAsia"/>
          <w:color w:val="auto"/>
          <w:highlight w:val="none"/>
        </w:rPr>
      </w:pPr>
    </w:p>
    <w:p>
      <w:pPr>
        <w:pStyle w:val="2"/>
        <w:rPr>
          <w:rFonts w:hint="eastAsia"/>
          <w:color w:val="auto"/>
          <w:highlight w:val="none"/>
        </w:rPr>
      </w:pPr>
      <w:bookmarkStart w:id="4" w:name="_Toc31938"/>
      <w:bookmarkStart w:id="5" w:name="_Toc11322"/>
      <w:bookmarkStart w:id="6" w:name="_Toc7519"/>
      <w:bookmarkStart w:id="7" w:name="_Toc4275"/>
      <w:bookmarkStart w:id="8" w:name="_Toc17801"/>
      <w:bookmarkStart w:id="9" w:name="_Toc19609"/>
      <w:bookmarkStart w:id="10" w:name="_Toc1669"/>
    </w:p>
    <w:p>
      <w:pPr>
        <w:pStyle w:val="2"/>
        <w:rPr>
          <w:rFonts w:hint="eastAsia"/>
          <w:color w:val="auto"/>
          <w:highlight w:val="none"/>
        </w:rPr>
      </w:pPr>
    </w:p>
    <w:p>
      <w:pPr>
        <w:pStyle w:val="2"/>
        <w:rPr>
          <w:rFonts w:hint="eastAsia" w:asciiTheme="majorEastAsia" w:hAnsiTheme="majorEastAsia" w:eastAsiaTheme="majorEastAsia" w:cstheme="majorEastAsia"/>
          <w:color w:val="auto"/>
          <w:highlight w:val="none"/>
        </w:rPr>
      </w:pPr>
    </w:p>
    <w:p>
      <w:pPr>
        <w:rPr>
          <w:rFonts w:hint="eastAsia" w:asciiTheme="majorEastAsia" w:hAnsiTheme="majorEastAsia" w:eastAsiaTheme="majorEastAsia" w:cstheme="majorEastAsia"/>
        </w:rPr>
      </w:pPr>
    </w:p>
    <w:p>
      <w:pPr>
        <w:pStyle w:val="3"/>
        <w:rPr>
          <w:rFonts w:hint="eastAsia"/>
          <w:color w:val="auto"/>
          <w:highlight w:val="none"/>
        </w:rPr>
      </w:pPr>
      <w:r>
        <w:rPr>
          <w:rFonts w:hint="eastAsia"/>
          <w:color w:val="auto"/>
          <w:highlight w:val="none"/>
        </w:rPr>
        <mc:AlternateContent>
          <mc:Choice Requires="wps">
            <w:drawing>
              <wp:anchor distT="0" distB="0" distL="114300" distR="114300" simplePos="0" relativeHeight="251667456" behindDoc="0" locked="0" layoutInCell="1" allowOverlap="1">
                <wp:simplePos x="0" y="0"/>
                <wp:positionH relativeFrom="column">
                  <wp:posOffset>2355850</wp:posOffset>
                </wp:positionH>
                <wp:positionV relativeFrom="paragraph">
                  <wp:posOffset>106045</wp:posOffset>
                </wp:positionV>
                <wp:extent cx="958850" cy="0"/>
                <wp:effectExtent l="0" t="0" r="0" b="0"/>
                <wp:wrapNone/>
                <wp:docPr id="11" name="自选图形 16"/>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6" o:spid="_x0000_s1026" o:spt="32" type="#_x0000_t32" style="position:absolute;left:0pt;margin-left:185.5pt;margin-top:8.35pt;height:0pt;width:75.5pt;z-index:251667456;mso-width-relative:page;mso-height-relative:page;" filled="f" stroked="t" coordsize="21600,21600" o:gfxdata="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jgpkodcAAAAJAQAADwAAAAAAAAABACAAAAAiAAAAZHJzL2Rvd25yZXYueG1sUEsBAhQA&#10;FAAAAAgAh07iQA+sh4jzAQAA5AMAAA4AAAAAAAAAAQAgAAAAJgEAAGRycy9lMm9Eb2MueG1sUEsF&#10;BgAAAAAGAAYAWQEAAIsFAAAAAA==&#10;">
                <v:fill on="f" focussize="0,0"/>
                <v:stroke color="#000000" joinstyle="round"/>
                <v:imagedata o:title=""/>
                <o:lock v:ext="edit" aspectratio="f"/>
              </v:shape>
            </w:pict>
          </mc:Fallback>
        </mc:AlternateContent>
      </w:r>
      <w:r>
        <w:rPr>
          <w:rFonts w:hint="eastAsia"/>
          <w:color w:val="auto"/>
          <w:highlight w:val="none"/>
        </w:rPr>
        <mc:AlternateContent>
          <mc:Choice Requires="wps">
            <w:drawing>
              <wp:anchor distT="0" distB="0" distL="114300" distR="114300" simplePos="0" relativeHeight="251668480" behindDoc="0" locked="0" layoutInCell="1" allowOverlap="1">
                <wp:simplePos x="0" y="0"/>
                <wp:positionH relativeFrom="column">
                  <wp:posOffset>2321560</wp:posOffset>
                </wp:positionH>
                <wp:positionV relativeFrom="paragraph">
                  <wp:posOffset>586740</wp:posOffset>
                </wp:positionV>
                <wp:extent cx="958850" cy="0"/>
                <wp:effectExtent l="0" t="0" r="0" b="0"/>
                <wp:wrapNone/>
                <wp:docPr id="12" name="自选图形 17"/>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7" o:spid="_x0000_s1026" o:spt="32" type="#_x0000_t32" style="position:absolute;left:0pt;margin-left:182.8pt;margin-top:46.2pt;height:0pt;width:75.5pt;z-index:251668480;mso-width-relative:page;mso-height-relative:page;" filled="f" stroked="t" coordsize="21600,21600" o:gfxdata="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s2our1gAAAAkBAAAPAAAAAAAAAAEAIAAAACIAAABkcnMvZG93bnJldi54bWxQSwECFAAU&#10;AAAACACHTuJAeulEZ/MBAADkAwAADgAAAAAAAAABACAAAAAlAQAAZHJzL2Uyb0RvYy54bWxQSwUG&#10;AAAAAAYABgBZAQAAigUAAAAA&#10;">
                <v:fill on="f" focussize="0,0"/>
                <v:stroke color="#000000" joinstyle="round"/>
                <v:imagedata o:title=""/>
                <o:lock v:ext="edit" aspectratio="f"/>
              </v:shape>
            </w:pict>
          </mc:Fallback>
        </mc:AlternateContent>
      </w:r>
      <w:r>
        <w:rPr>
          <w:rFonts w:hint="eastAsia"/>
          <w:color w:val="auto"/>
          <w:highlight w:val="none"/>
        </w:rPr>
        <w:t>第一章</w:t>
      </w:r>
      <w:bookmarkEnd w:id="0"/>
      <w:bookmarkEnd w:id="1"/>
      <w:bookmarkEnd w:id="2"/>
      <w:bookmarkEnd w:id="3"/>
      <w:bookmarkEnd w:id="4"/>
      <w:bookmarkEnd w:id="5"/>
      <w:bookmarkEnd w:id="6"/>
      <w:bookmarkEnd w:id="7"/>
      <w:bookmarkEnd w:id="8"/>
      <w:bookmarkEnd w:id="9"/>
      <w:bookmarkEnd w:id="10"/>
    </w:p>
    <w:p>
      <w:pPr>
        <w:pStyle w:val="38"/>
        <w:rPr>
          <w:rFonts w:hint="eastAsia" w:asciiTheme="majorEastAsia" w:hAnsiTheme="majorEastAsia" w:eastAsiaTheme="majorEastAsia" w:cstheme="majorEastAsia"/>
          <w:color w:val="auto"/>
          <w:highlight w:val="none"/>
        </w:rPr>
      </w:pPr>
    </w:p>
    <w:p>
      <w:pPr>
        <w:pStyle w:val="3"/>
        <w:rPr>
          <w:rFonts w:hint="eastAsia"/>
          <w:color w:val="auto"/>
          <w:highlight w:val="none"/>
          <w:lang w:eastAsia="zh-CN"/>
        </w:rPr>
      </w:pPr>
      <w:r>
        <w:rPr>
          <w:rFonts w:hint="eastAsia"/>
          <w:color w:val="auto"/>
          <w:highlight w:val="none"/>
          <w:lang w:eastAsia="zh-CN"/>
        </w:rPr>
        <w:t>采购公告（采购邀请书）</w:t>
      </w:r>
    </w:p>
    <w:p>
      <w:pPr>
        <w:adjustRightInd w:val="0"/>
        <w:snapToGrid w:val="0"/>
        <w:spacing w:beforeLines="50" w:afterLines="50" w:line="600" w:lineRule="exact"/>
        <w:jc w:val="center"/>
        <w:rPr>
          <w:rFonts w:hint="eastAsia" w:asciiTheme="majorEastAsia" w:hAnsiTheme="majorEastAsia" w:eastAsiaTheme="majorEastAsia" w:cstheme="majorEastAsia"/>
          <w:color w:val="auto"/>
          <w:sz w:val="44"/>
          <w:szCs w:val="44"/>
          <w:highlight w:val="none"/>
        </w:rPr>
      </w:pPr>
    </w:p>
    <w:p>
      <w:pPr>
        <w:adjustRightInd w:val="0"/>
        <w:snapToGrid w:val="0"/>
        <w:spacing w:beforeLines="50" w:afterLines="50" w:line="600" w:lineRule="exact"/>
        <w:jc w:val="center"/>
        <w:rPr>
          <w:rFonts w:hint="eastAsia" w:asciiTheme="majorEastAsia" w:hAnsiTheme="majorEastAsia" w:eastAsiaTheme="majorEastAsia" w:cstheme="majorEastAsia"/>
          <w:color w:val="auto"/>
          <w:sz w:val="44"/>
          <w:szCs w:val="44"/>
          <w:highlight w:val="none"/>
        </w:rPr>
      </w:pPr>
    </w:p>
    <w:p>
      <w:pPr>
        <w:pStyle w:val="23"/>
        <w:rPr>
          <w:rFonts w:hint="eastAsia" w:asciiTheme="majorEastAsia" w:hAnsiTheme="majorEastAsia" w:eastAsiaTheme="majorEastAsia" w:cstheme="majorEastAsia"/>
          <w:color w:val="auto"/>
          <w:sz w:val="44"/>
          <w:szCs w:val="44"/>
          <w:highlight w:val="none"/>
        </w:rPr>
      </w:pPr>
    </w:p>
    <w:p>
      <w:pPr>
        <w:pStyle w:val="23"/>
        <w:ind w:left="0" w:leftChars="0" w:firstLine="0" w:firstLineChars="0"/>
        <w:rPr>
          <w:rFonts w:ascii="方正小标宋简体" w:eastAsia="方正小标宋简体"/>
          <w:color w:val="auto"/>
          <w:sz w:val="44"/>
          <w:szCs w:val="44"/>
          <w:highlight w:val="none"/>
        </w:rPr>
      </w:pPr>
    </w:p>
    <w:p>
      <w:pPr>
        <w:pStyle w:val="23"/>
        <w:ind w:left="0" w:leftChars="0" w:firstLine="0" w:firstLineChars="0"/>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adjustRightInd w:val="0"/>
        <w:snapToGrid w:val="0"/>
        <w:spacing w:beforeLines="50" w:afterLines="50" w:line="600" w:lineRule="exact"/>
        <w:jc w:val="left"/>
        <w:rPr>
          <w:color w:val="auto"/>
          <w:highlight w:val="none"/>
        </w:rPr>
      </w:pPr>
      <w:r>
        <w:rPr>
          <w:rFonts w:hint="eastAsia" w:asciiTheme="minorEastAsia" w:hAnsiTheme="minorEastAsia"/>
          <w:color w:val="auto"/>
          <w:sz w:val="24"/>
          <w:szCs w:val="24"/>
          <w:highlight w:val="none"/>
        </w:rPr>
        <w:t>适用于纸质评审的公开采购方式</w:t>
      </w:r>
    </w:p>
    <w:p>
      <w:pPr>
        <w:pStyle w:val="2"/>
        <w:rPr>
          <w:rFonts w:hint="eastAsia" w:asciiTheme="majorEastAsia" w:hAnsiTheme="majorEastAsia" w:eastAsiaTheme="majorEastAsia" w:cstheme="majorEastAsia"/>
          <w:color w:val="auto"/>
          <w:highlight w:val="none"/>
          <w:lang w:eastAsia="zh-CN"/>
        </w:rPr>
      </w:pPr>
      <w:bookmarkStart w:id="11" w:name="_Toc9680"/>
      <w:bookmarkStart w:id="12" w:name="_Toc21373"/>
      <w:r>
        <w:rPr>
          <w:rFonts w:hint="eastAsia" w:asciiTheme="majorEastAsia" w:hAnsiTheme="majorEastAsia" w:eastAsiaTheme="majorEastAsia" w:cstheme="majorEastAsia"/>
          <w:color w:val="auto"/>
          <w:highlight w:val="none"/>
          <w:lang w:eastAsia="zh-CN"/>
        </w:rPr>
        <w:t>采购公告（采购邀请书）</w:t>
      </w:r>
    </w:p>
    <w:bookmarkEnd w:id="11"/>
    <w:bookmarkEnd w:id="12"/>
    <w:p>
      <w:pPr>
        <w:adjustRightInd w:val="0"/>
        <w:snapToGrid w:val="0"/>
        <w:spacing w:line="600" w:lineRule="exact"/>
        <w:ind w:firstLine="560" w:firstLineChars="200"/>
        <w:jc w:val="left"/>
        <w:rPr>
          <w:rFonts w:hint="eastAsia" w:ascii="仿宋" w:hAnsi="仿宋" w:eastAsia="仿宋" w:cs="仿宋"/>
          <w:color w:val="auto"/>
          <w:sz w:val="28"/>
          <w:szCs w:val="28"/>
          <w:highlight w:val="none"/>
          <w:u w:val="single"/>
        </w:rPr>
      </w:pPr>
      <w:r>
        <w:rPr>
          <w:rFonts w:hint="eastAsia" w:ascii="仿宋" w:hAnsi="仿宋" w:eastAsia="仿宋" w:cs="仿宋"/>
          <w:color w:val="auto"/>
          <w:sz w:val="28"/>
          <w:szCs w:val="28"/>
          <w:highlight w:val="none"/>
          <w:u w:val="single"/>
          <w:lang w:eastAsia="zh-CN"/>
        </w:rPr>
        <w:t>广州市净水有限公司</w:t>
      </w:r>
      <w:r>
        <w:rPr>
          <w:rFonts w:hint="eastAsia" w:ascii="仿宋" w:hAnsi="仿宋" w:eastAsia="仿宋" w:cs="仿宋"/>
          <w:b w:val="0"/>
          <w:bCs w:val="0"/>
          <w:color w:val="auto"/>
          <w:sz w:val="28"/>
          <w:szCs w:val="28"/>
          <w:highlight w:val="none"/>
          <w:u w:val="single"/>
        </w:rPr>
        <w:t>大坦沙分公司三期滤池超越阀电动执行器优化等项目</w:t>
      </w:r>
      <w:r>
        <w:rPr>
          <w:rFonts w:hint="eastAsia" w:ascii="仿宋" w:hAnsi="仿宋" w:eastAsia="仿宋" w:cs="仿宋"/>
          <w:color w:val="auto"/>
          <w:sz w:val="28"/>
          <w:szCs w:val="28"/>
          <w:highlight w:val="none"/>
        </w:rPr>
        <w:t>已具备采购条件，</w:t>
      </w:r>
      <w:r>
        <w:rPr>
          <w:rFonts w:hint="eastAsia" w:ascii="仿宋" w:hAnsi="仿宋" w:eastAsia="仿宋" w:cs="仿宋"/>
          <w:sz w:val="28"/>
          <w:szCs w:val="28"/>
        </w:rPr>
        <w:t>现</w:t>
      </w:r>
      <w:r>
        <w:rPr>
          <w:rFonts w:hint="eastAsia" w:ascii="仿宋" w:hAnsi="仿宋" w:eastAsia="仿宋" w:cs="仿宋"/>
          <w:sz w:val="28"/>
          <w:szCs w:val="28"/>
          <w:lang w:val="en-US" w:eastAsia="zh-CN"/>
        </w:rPr>
        <w:t>邀请合格</w:t>
      </w:r>
      <w:r>
        <w:rPr>
          <w:rFonts w:hint="eastAsia" w:ascii="仿宋" w:hAnsi="仿宋" w:eastAsia="仿宋" w:cs="仿宋"/>
          <w:sz w:val="28"/>
          <w:szCs w:val="28"/>
          <w:u w:val="none"/>
          <w:lang w:val="en-US" w:eastAsia="zh-CN"/>
        </w:rPr>
        <w:t>单位</w:t>
      </w:r>
      <w:r>
        <w:rPr>
          <w:rFonts w:hint="eastAsia" w:ascii="仿宋" w:hAnsi="仿宋" w:eastAsia="仿宋" w:cs="仿宋"/>
          <w:sz w:val="28"/>
          <w:szCs w:val="28"/>
        </w:rPr>
        <w:t>参加本</w:t>
      </w:r>
      <w:r>
        <w:rPr>
          <w:rFonts w:hint="eastAsia" w:ascii="仿宋" w:hAnsi="仿宋" w:eastAsia="仿宋" w:cs="仿宋"/>
          <w:sz w:val="28"/>
          <w:szCs w:val="28"/>
        </w:rPr>
        <w:sym w:font="Wingdings 2" w:char="0052"/>
      </w:r>
      <w:r>
        <w:rPr>
          <w:rFonts w:hint="eastAsia" w:ascii="仿宋" w:hAnsi="仿宋" w:eastAsia="仿宋" w:cs="仿宋"/>
          <w:sz w:val="28"/>
          <w:szCs w:val="28"/>
        </w:rPr>
        <w:t xml:space="preserve">施工  □货物 </w:t>
      </w:r>
      <w:r>
        <w:rPr>
          <w:rFonts w:hint="eastAsia" w:ascii="仿宋" w:hAnsi="仿宋" w:eastAsia="仿宋" w:cs="仿宋"/>
          <w:sz w:val="28"/>
          <w:szCs w:val="28"/>
        </w:rPr>
        <w:sym w:font="Wingdings 2" w:char="00A3"/>
      </w:r>
      <w:r>
        <w:rPr>
          <w:rFonts w:hint="eastAsia" w:ascii="仿宋" w:hAnsi="仿宋" w:eastAsia="仿宋" w:cs="仿宋"/>
          <w:sz w:val="28"/>
          <w:szCs w:val="28"/>
        </w:rPr>
        <w:t>服务项目采购活动，采用</w:t>
      </w:r>
      <w:r>
        <w:rPr>
          <w:rFonts w:hint="eastAsia" w:ascii="仿宋" w:hAnsi="仿宋" w:eastAsia="仿宋" w:cs="仿宋"/>
          <w:sz w:val="28"/>
          <w:szCs w:val="28"/>
          <w:u w:val="single"/>
        </w:rPr>
        <w:sym w:font="Wingdings 2" w:char="00A3"/>
      </w:r>
      <w:r>
        <w:rPr>
          <w:rFonts w:hint="eastAsia" w:ascii="仿宋" w:hAnsi="仿宋" w:eastAsia="仿宋" w:cs="仿宋"/>
          <w:sz w:val="28"/>
          <w:szCs w:val="28"/>
          <w:u w:val="single"/>
          <w:lang w:val="en-US" w:eastAsia="zh-CN"/>
        </w:rPr>
        <w:t>邀请</w:t>
      </w:r>
      <w:r>
        <w:rPr>
          <w:rFonts w:hint="eastAsia" w:ascii="仿宋" w:hAnsi="仿宋" w:eastAsia="仿宋" w:cs="仿宋"/>
          <w:sz w:val="28"/>
          <w:szCs w:val="28"/>
          <w:u w:val="single"/>
        </w:rPr>
        <w:t>询比</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lang w:val="en-US" w:eastAsia="zh-CN"/>
        </w:rPr>
        <w:sym w:font="Wingdings 2" w:char="0052"/>
      </w:r>
      <w:r>
        <w:rPr>
          <w:rFonts w:hint="eastAsia" w:ascii="仿宋" w:hAnsi="仿宋" w:eastAsia="仿宋" w:cs="仿宋"/>
          <w:sz w:val="28"/>
          <w:szCs w:val="28"/>
          <w:u w:val="single"/>
          <w:lang w:val="en-US" w:eastAsia="zh-CN"/>
        </w:rPr>
        <w:t>公开询价</w:t>
      </w:r>
      <w:r>
        <w:rPr>
          <w:rFonts w:hint="eastAsia" w:ascii="仿宋" w:hAnsi="仿宋" w:eastAsia="仿宋" w:cs="仿宋"/>
          <w:sz w:val="28"/>
          <w:szCs w:val="28"/>
        </w:rPr>
        <w:t>的方式邀请合格供应商参加本项目采购活动。</w:t>
      </w:r>
    </w:p>
    <w:p>
      <w:pPr>
        <w:adjustRightInd w:val="0"/>
        <w:snapToGrid w:val="0"/>
        <w:spacing w:line="600" w:lineRule="exact"/>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1.采购项目简介</w:t>
      </w:r>
    </w:p>
    <w:p>
      <w:pPr>
        <w:adjustRightInd w:val="0"/>
        <w:snapToGrid w:val="0"/>
        <w:spacing w:line="600" w:lineRule="exact"/>
        <w:jc w:val="left"/>
        <w:rPr>
          <w:rFonts w:hint="eastAsia" w:ascii="仿宋" w:hAnsi="仿宋" w:eastAsia="仿宋" w:cs="仿宋"/>
          <w:color w:val="auto"/>
          <w:sz w:val="28"/>
          <w:szCs w:val="28"/>
          <w:highlight w:val="none"/>
          <w:lang w:eastAsia="zh-CN"/>
        </w:rPr>
      </w:pPr>
      <w:r>
        <w:rPr>
          <w:rFonts w:hint="eastAsia" w:ascii="仿宋" w:hAnsi="仿宋" w:eastAsia="仿宋" w:cs="仿宋"/>
          <w:color w:val="auto"/>
          <w:sz w:val="28"/>
          <w:szCs w:val="28"/>
          <w:highlight w:val="none"/>
        </w:rPr>
        <w:t>1.1采购项目名称：</w:t>
      </w:r>
      <w:r>
        <w:rPr>
          <w:rFonts w:hint="eastAsia" w:ascii="仿宋" w:hAnsi="仿宋" w:eastAsia="仿宋" w:cs="仿宋"/>
          <w:color w:val="auto"/>
          <w:sz w:val="28"/>
          <w:szCs w:val="28"/>
          <w:highlight w:val="none"/>
          <w:u w:val="single"/>
          <w:lang w:eastAsia="zh-CN"/>
        </w:rPr>
        <w:t>广州市净水有限公司</w:t>
      </w:r>
      <w:r>
        <w:rPr>
          <w:rFonts w:hint="eastAsia" w:ascii="仿宋" w:hAnsi="仿宋" w:eastAsia="仿宋" w:cs="仿宋"/>
          <w:b w:val="0"/>
          <w:bCs w:val="0"/>
          <w:color w:val="auto"/>
          <w:sz w:val="28"/>
          <w:szCs w:val="28"/>
          <w:highlight w:val="none"/>
          <w:u w:val="single"/>
          <w:lang w:eastAsia="zh-CN"/>
        </w:rPr>
        <w:t>大坦沙分公司三期滤池超越阀电动执行器优化等项目</w:t>
      </w:r>
    </w:p>
    <w:p>
      <w:pPr>
        <w:adjustRightInd w:val="0"/>
        <w:snapToGrid w:val="0"/>
        <w:spacing w:line="600" w:lineRule="exact"/>
        <w:jc w:val="left"/>
        <w:rPr>
          <w:rFonts w:hint="default" w:ascii="仿宋" w:hAnsi="仿宋" w:eastAsia="仿宋" w:cs="仿宋"/>
          <w:color w:val="auto"/>
          <w:sz w:val="28"/>
          <w:szCs w:val="28"/>
          <w:highlight w:val="none"/>
          <w:u w:val="single"/>
          <w:lang w:val="en-US"/>
        </w:rPr>
      </w:pPr>
      <w:r>
        <w:rPr>
          <w:rFonts w:hint="eastAsia" w:ascii="仿宋" w:hAnsi="仿宋" w:eastAsia="仿宋" w:cs="仿宋"/>
          <w:color w:val="auto"/>
          <w:sz w:val="28"/>
          <w:szCs w:val="28"/>
          <w:highlight w:val="none"/>
        </w:rPr>
        <w:t>1.2项目编号：</w:t>
      </w:r>
      <w:r>
        <w:rPr>
          <w:rFonts w:hint="eastAsia" w:ascii="仿宋" w:hAnsi="仿宋" w:eastAsia="仿宋" w:cs="仿宋"/>
          <w:color w:val="auto"/>
          <w:sz w:val="28"/>
          <w:szCs w:val="28"/>
          <w:highlight w:val="none"/>
          <w:u w:val="single"/>
          <w:lang w:val="en-US" w:eastAsia="zh-CN"/>
        </w:rPr>
        <w:t>XJ-20241030-1</w:t>
      </w:r>
      <w:r>
        <w:rPr>
          <w:rFonts w:hint="eastAsia" w:ascii="仿宋" w:hAnsi="仿宋" w:eastAsia="仿宋" w:cs="仿宋"/>
          <w:color w:val="auto"/>
          <w:sz w:val="28"/>
          <w:szCs w:val="28"/>
          <w:highlight w:val="none"/>
          <w:u w:val="single"/>
          <w:lang w:val="en-US" w:eastAsia="zh-CN"/>
        </w:rPr>
        <w:br w:type="textWrapping"/>
      </w:r>
      <w:r>
        <w:rPr>
          <w:rFonts w:hint="eastAsia" w:ascii="仿宋" w:hAnsi="仿宋" w:eastAsia="仿宋" w:cs="仿宋"/>
          <w:color w:val="auto"/>
          <w:sz w:val="28"/>
          <w:szCs w:val="28"/>
          <w:highlight w:val="none"/>
        </w:rPr>
        <w:t>1.</w:t>
      </w:r>
      <w:r>
        <w:rPr>
          <w:rFonts w:hint="eastAsia" w:ascii="仿宋" w:hAnsi="仿宋" w:eastAsia="仿宋" w:cs="仿宋"/>
          <w:color w:val="auto"/>
          <w:sz w:val="28"/>
          <w:szCs w:val="28"/>
          <w:highlight w:val="none"/>
          <w:lang w:val="en-US" w:eastAsia="zh-CN"/>
        </w:rPr>
        <w:t>3</w:t>
      </w:r>
      <w:r>
        <w:rPr>
          <w:rFonts w:hint="eastAsia" w:ascii="仿宋" w:hAnsi="仿宋" w:eastAsia="仿宋" w:cs="仿宋"/>
          <w:color w:val="auto"/>
          <w:sz w:val="28"/>
          <w:szCs w:val="28"/>
          <w:highlight w:val="none"/>
        </w:rPr>
        <w:t>资金来源：</w:t>
      </w:r>
      <w:r>
        <w:rPr>
          <w:rFonts w:hint="eastAsia" w:ascii="仿宋" w:hAnsi="仿宋" w:eastAsia="仿宋" w:cs="仿宋"/>
          <w:color w:val="auto"/>
          <w:sz w:val="28"/>
          <w:szCs w:val="28"/>
          <w:highlight w:val="none"/>
          <w:u w:val="single"/>
          <w:lang w:val="en-US" w:eastAsia="zh-CN"/>
        </w:rPr>
        <w:t>自有资金</w:t>
      </w:r>
    </w:p>
    <w:p>
      <w:pPr>
        <w:adjustRightInd w:val="0"/>
        <w:snapToGrid w:val="0"/>
        <w:spacing w:line="600" w:lineRule="exact"/>
        <w:jc w:val="left"/>
        <w:rPr>
          <w:rFonts w:hint="eastAsia" w:ascii="仿宋" w:hAnsi="仿宋" w:eastAsia="仿宋" w:cs="仿宋"/>
          <w:color w:val="auto"/>
          <w:sz w:val="28"/>
          <w:szCs w:val="28"/>
          <w:highlight w:val="none"/>
          <w:u w:val="single"/>
          <w:lang w:val="en-US" w:eastAsia="zh-CN"/>
        </w:rPr>
      </w:pPr>
      <w:r>
        <w:rPr>
          <w:rFonts w:hint="eastAsia" w:ascii="仿宋" w:hAnsi="仿宋" w:eastAsia="仿宋" w:cs="仿宋"/>
          <w:color w:val="auto"/>
          <w:sz w:val="28"/>
          <w:szCs w:val="28"/>
          <w:highlight w:val="none"/>
        </w:rPr>
        <w:t>1.</w:t>
      </w:r>
      <w:r>
        <w:rPr>
          <w:rFonts w:hint="eastAsia" w:ascii="仿宋" w:hAnsi="仿宋" w:eastAsia="仿宋" w:cs="仿宋"/>
          <w:color w:val="auto"/>
          <w:sz w:val="28"/>
          <w:szCs w:val="28"/>
          <w:highlight w:val="none"/>
          <w:lang w:val="en-US" w:eastAsia="zh-CN"/>
        </w:rPr>
        <w:t>4</w:t>
      </w:r>
      <w:r>
        <w:rPr>
          <w:rFonts w:hint="eastAsia" w:ascii="仿宋" w:hAnsi="仿宋" w:eastAsia="仿宋" w:cs="仿宋"/>
          <w:color w:val="auto"/>
          <w:sz w:val="28"/>
          <w:szCs w:val="28"/>
          <w:highlight w:val="none"/>
        </w:rPr>
        <w:t>最高限价</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元</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u w:val="single"/>
          <w:lang w:val="en-US" w:eastAsia="zh-CN"/>
        </w:rPr>
        <w:t>273878.95</w:t>
      </w:r>
      <w:r>
        <w:rPr>
          <w:rFonts w:hint="eastAsia" w:ascii="仿宋" w:hAnsi="仿宋" w:eastAsia="仿宋" w:cs="仿宋"/>
          <w:color w:val="auto"/>
          <w:kern w:val="2"/>
          <w:sz w:val="28"/>
          <w:szCs w:val="28"/>
          <w:highlight w:val="none"/>
          <w:u w:val="none"/>
          <w:lang w:val="en-US" w:eastAsia="zh-CN" w:bidi="ar"/>
        </w:rPr>
        <w:t>元</w:t>
      </w:r>
    </w:p>
    <w:tbl>
      <w:tblPr>
        <w:tblStyle w:val="24"/>
        <w:tblW w:w="913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464"/>
        <w:gridCol w:w="936"/>
        <w:gridCol w:w="2651"/>
        <w:gridCol w:w="1031"/>
        <w:gridCol w:w="1031"/>
        <w:gridCol w:w="940"/>
        <w:gridCol w:w="1042"/>
        <w:gridCol w:w="104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225" w:hRule="atLeast"/>
          <w:jc w:val="center"/>
        </w:trPr>
        <w:tc>
          <w:tcPr>
            <w:tcW w:w="464"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序号</w:t>
            </w:r>
          </w:p>
        </w:tc>
        <w:tc>
          <w:tcPr>
            <w:tcW w:w="936"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所属单位</w:t>
            </w:r>
          </w:p>
        </w:tc>
        <w:tc>
          <w:tcPr>
            <w:tcW w:w="2651"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子项目名称</w:t>
            </w:r>
          </w:p>
        </w:tc>
        <w:tc>
          <w:tcPr>
            <w:tcW w:w="1031"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最高限价（元）</w:t>
            </w:r>
          </w:p>
        </w:tc>
        <w:tc>
          <w:tcPr>
            <w:tcW w:w="1031"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税前价   （元）</w:t>
            </w:r>
          </w:p>
        </w:tc>
        <w:tc>
          <w:tcPr>
            <w:tcW w:w="940"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税率</w:t>
            </w:r>
          </w:p>
        </w:tc>
        <w:tc>
          <w:tcPr>
            <w:tcW w:w="1042"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绿色施工安全防护措施费（元）</w:t>
            </w:r>
          </w:p>
        </w:tc>
        <w:tc>
          <w:tcPr>
            <w:tcW w:w="1042"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暂列金额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649"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0"/>
                <w:sz w:val="22"/>
                <w:szCs w:val="22"/>
                <w:u w:val="none"/>
                <w:lang w:val="en-US" w:eastAsia="zh-CN" w:bidi="ar"/>
              </w:rPr>
            </w:pPr>
            <w:r>
              <w:rPr>
                <w:rFonts w:ascii="宋体" w:hAnsi="宋体" w:eastAsia="宋体" w:cs="宋体"/>
                <w:color w:val="auto"/>
                <w:kern w:val="0"/>
                <w:sz w:val="20"/>
                <w:szCs w:val="20"/>
                <w:lang w:val="en-US" w:eastAsia="zh-CN" w:bidi="ar"/>
              </w:rPr>
              <w:t>1</w:t>
            </w:r>
          </w:p>
        </w:tc>
        <w:tc>
          <w:tcPr>
            <w:tcW w:w="93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i w:val="0"/>
                <w:color w:val="auto"/>
                <w:sz w:val="21"/>
                <w:szCs w:val="21"/>
                <w:u w:val="none"/>
              </w:rPr>
            </w:pPr>
            <w:r>
              <w:rPr>
                <w:rFonts w:hint="eastAsia" w:ascii="宋体" w:hAnsi="宋体" w:eastAsia="宋体" w:cs="宋体"/>
                <w:color w:val="auto"/>
                <w:kern w:val="0"/>
                <w:sz w:val="20"/>
                <w:szCs w:val="20"/>
                <w:lang w:val="en-US" w:eastAsia="zh-CN" w:bidi="ar"/>
              </w:rPr>
              <w:t>大坦沙分</w:t>
            </w:r>
            <w:r>
              <w:rPr>
                <w:rFonts w:ascii="宋体" w:hAnsi="宋体" w:eastAsia="宋体" w:cs="宋体"/>
                <w:color w:val="auto"/>
                <w:kern w:val="0"/>
                <w:sz w:val="20"/>
                <w:szCs w:val="20"/>
                <w:lang w:val="en-US" w:eastAsia="zh-CN" w:bidi="ar"/>
              </w:rPr>
              <w:t>公司</w:t>
            </w:r>
          </w:p>
        </w:tc>
        <w:tc>
          <w:tcPr>
            <w:tcW w:w="26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u w:val="none"/>
                <w:lang w:val="en-US" w:eastAsia="zh-CN" w:bidi="ar"/>
              </w:rPr>
            </w:pPr>
            <w:r>
              <w:rPr>
                <w:rFonts w:hint="eastAsia" w:ascii="宋体" w:hAnsi="宋体" w:eastAsia="宋体" w:cs="宋体"/>
                <w:b w:val="0"/>
                <w:bCs w:val="0"/>
                <w:color w:val="auto"/>
                <w:kern w:val="0"/>
                <w:sz w:val="20"/>
                <w:szCs w:val="20"/>
                <w:u w:val="none"/>
                <w:lang w:bidi="ar"/>
              </w:rPr>
              <w:t>大坦沙分公司三期滤池超越阀电动执行器优化等项目</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highlight w:val="yellow"/>
                <w:lang w:val="en-US" w:eastAsia="zh-CN" w:bidi="ar"/>
              </w:rPr>
            </w:pPr>
            <w:r>
              <w:rPr>
                <w:rFonts w:hint="eastAsia" w:ascii="宋体" w:hAnsi="宋体" w:eastAsia="宋体" w:cs="宋体"/>
                <w:color w:val="auto"/>
                <w:kern w:val="0"/>
                <w:sz w:val="20"/>
                <w:szCs w:val="20"/>
                <w:highlight w:val="none"/>
                <w:u w:val="none"/>
                <w:lang w:val="en-US" w:eastAsia="zh-CN" w:bidi="ar"/>
              </w:rPr>
              <w:t>156066.37</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highlight w:val="yellow"/>
                <w:lang w:val="en-US" w:eastAsia="zh-CN" w:bidi="ar"/>
              </w:rPr>
            </w:pPr>
            <w:r>
              <w:rPr>
                <w:rFonts w:hint="eastAsia" w:ascii="宋体" w:hAnsi="宋体" w:eastAsia="宋体" w:cs="宋体"/>
                <w:color w:val="auto"/>
                <w:kern w:val="0"/>
                <w:sz w:val="20"/>
                <w:szCs w:val="20"/>
                <w:highlight w:val="none"/>
                <w:u w:val="none"/>
                <w:lang w:val="en-US" w:eastAsia="zh-CN" w:bidi="ar"/>
              </w:rPr>
              <w:t>143180.15</w:t>
            </w:r>
          </w:p>
        </w:tc>
        <w:tc>
          <w:tcPr>
            <w:tcW w:w="9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highlight w:val="yellow"/>
                <w:lang w:val="en-US" w:eastAsia="zh-CN" w:bidi="ar"/>
              </w:rPr>
            </w:pPr>
            <w:r>
              <w:rPr>
                <w:rFonts w:hint="eastAsia" w:ascii="宋体" w:hAnsi="宋体" w:eastAsia="宋体" w:cs="宋体"/>
                <w:color w:val="auto"/>
                <w:kern w:val="0"/>
                <w:sz w:val="20"/>
                <w:szCs w:val="20"/>
                <w:lang w:val="en-US" w:eastAsia="zh-CN" w:bidi="ar"/>
              </w:rPr>
              <w:t>9%</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highlight w:val="none"/>
                <w:u w:val="none"/>
                <w:lang w:val="en-US" w:eastAsia="zh-CN" w:bidi="ar"/>
              </w:rPr>
              <w:t>3921.28</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12158.02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49"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0"/>
                <w:sz w:val="22"/>
                <w:szCs w:val="22"/>
                <w:u w:val="none"/>
                <w:lang w:val="en-US" w:eastAsia="zh-CN" w:bidi="ar"/>
              </w:rPr>
            </w:pPr>
            <w:r>
              <w:rPr>
                <w:rFonts w:ascii="宋体" w:hAnsi="宋体" w:eastAsia="宋体" w:cs="宋体"/>
                <w:color w:val="auto"/>
                <w:kern w:val="0"/>
                <w:sz w:val="20"/>
                <w:szCs w:val="20"/>
                <w:lang w:val="en-US" w:eastAsia="zh-CN" w:bidi="ar"/>
              </w:rPr>
              <w:t>2</w:t>
            </w:r>
          </w:p>
        </w:tc>
        <w:tc>
          <w:tcPr>
            <w:tcW w:w="93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i w:val="0"/>
                <w:color w:val="auto"/>
                <w:kern w:val="0"/>
                <w:sz w:val="20"/>
                <w:szCs w:val="20"/>
                <w:u w:val="none"/>
                <w:lang w:bidi="ar"/>
              </w:rPr>
            </w:pPr>
            <w:r>
              <w:rPr>
                <w:rFonts w:hint="eastAsia" w:ascii="宋体" w:hAnsi="宋体" w:eastAsia="宋体" w:cs="宋体"/>
                <w:color w:val="auto"/>
                <w:kern w:val="0"/>
                <w:sz w:val="20"/>
                <w:szCs w:val="20"/>
                <w:u w:val="none"/>
                <w:lang w:val="en-US" w:eastAsia="zh-CN" w:bidi="ar"/>
              </w:rPr>
              <w:t>大坦沙分公司</w:t>
            </w:r>
          </w:p>
        </w:tc>
        <w:tc>
          <w:tcPr>
            <w:tcW w:w="26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u w:val="none"/>
                <w:lang w:val="en-US" w:eastAsia="zh-CN" w:bidi="ar"/>
              </w:rPr>
            </w:pPr>
            <w:r>
              <w:rPr>
                <w:rFonts w:hint="eastAsia" w:ascii="宋体" w:hAnsi="宋体" w:eastAsia="宋体" w:cs="宋体"/>
                <w:b w:val="0"/>
                <w:bCs w:val="0"/>
                <w:color w:val="auto"/>
                <w:kern w:val="0"/>
                <w:sz w:val="20"/>
                <w:szCs w:val="20"/>
                <w:u w:val="none"/>
                <w:lang w:bidi="ar"/>
              </w:rPr>
              <w:t>大坦沙分公司二期内回流泵远程控制优化等项目</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23000</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21100.92</w:t>
            </w:r>
          </w:p>
        </w:tc>
        <w:tc>
          <w:tcPr>
            <w:tcW w:w="9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9%</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49"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lang w:val="en-US" w:eastAsia="zh-CN"/>
              </w:rPr>
            </w:pPr>
            <w:r>
              <w:rPr>
                <w:rFonts w:hint="eastAsia" w:ascii="宋体" w:hAnsi="宋体" w:eastAsia="宋体" w:cs="宋体"/>
                <w:color w:val="auto"/>
                <w:kern w:val="0"/>
                <w:sz w:val="20"/>
                <w:szCs w:val="20"/>
                <w:lang w:val="en-US" w:eastAsia="zh-CN" w:bidi="ar"/>
              </w:rPr>
              <w:t>3</w:t>
            </w:r>
          </w:p>
        </w:tc>
        <w:tc>
          <w:tcPr>
            <w:tcW w:w="93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u w:val="none"/>
                <w:lang w:val="en-US" w:eastAsia="zh-CN" w:bidi="ar"/>
              </w:rPr>
            </w:pPr>
            <w:r>
              <w:rPr>
                <w:rFonts w:hint="eastAsia" w:ascii="宋体" w:hAnsi="宋体" w:eastAsia="宋体" w:cs="宋体"/>
                <w:color w:val="auto"/>
                <w:kern w:val="0"/>
                <w:sz w:val="20"/>
                <w:szCs w:val="20"/>
                <w:u w:val="none"/>
                <w:lang w:val="en-US" w:eastAsia="zh-CN" w:bidi="ar"/>
              </w:rPr>
              <w:t>大坦沙分公司</w:t>
            </w:r>
          </w:p>
        </w:tc>
        <w:tc>
          <w:tcPr>
            <w:tcW w:w="26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b w:val="0"/>
                <w:bCs w:val="0"/>
                <w:color w:val="auto"/>
                <w:kern w:val="0"/>
                <w:sz w:val="20"/>
                <w:szCs w:val="20"/>
                <w:u w:val="none"/>
                <w:lang w:bidi="ar"/>
              </w:rPr>
            </w:pPr>
            <w:r>
              <w:rPr>
                <w:rFonts w:hint="eastAsia" w:ascii="宋体" w:hAnsi="宋体" w:eastAsia="宋体" w:cs="宋体"/>
                <w:b w:val="0"/>
                <w:bCs w:val="0"/>
                <w:color w:val="auto"/>
                <w:kern w:val="0"/>
                <w:sz w:val="20"/>
                <w:szCs w:val="20"/>
                <w:u w:val="none"/>
                <w:lang w:bidi="ar"/>
              </w:rPr>
              <w:t>大坦沙分公司二期生化池光伏照明系统等维修项目</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45650.14</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41880.86</w:t>
            </w:r>
          </w:p>
        </w:tc>
        <w:tc>
          <w:tcPr>
            <w:tcW w:w="9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9%</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4300.44</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49"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4</w:t>
            </w:r>
          </w:p>
        </w:tc>
        <w:tc>
          <w:tcPr>
            <w:tcW w:w="93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u w:val="none"/>
                <w:lang w:val="en-US" w:eastAsia="zh-CN" w:bidi="ar"/>
              </w:rPr>
            </w:pPr>
            <w:r>
              <w:rPr>
                <w:rFonts w:hint="eastAsia" w:ascii="宋体" w:hAnsi="宋体" w:eastAsia="宋体" w:cs="宋体"/>
                <w:color w:val="auto"/>
                <w:kern w:val="0"/>
                <w:sz w:val="20"/>
                <w:szCs w:val="20"/>
                <w:u w:val="none"/>
                <w:lang w:val="en-US" w:eastAsia="zh-CN" w:bidi="ar"/>
              </w:rPr>
              <w:t>大坦沙分公司</w:t>
            </w:r>
          </w:p>
        </w:tc>
        <w:tc>
          <w:tcPr>
            <w:tcW w:w="26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b w:val="0"/>
                <w:bCs w:val="0"/>
                <w:color w:val="auto"/>
                <w:kern w:val="0"/>
                <w:sz w:val="20"/>
                <w:szCs w:val="20"/>
                <w:u w:val="none"/>
                <w:lang w:bidi="ar"/>
              </w:rPr>
            </w:pPr>
            <w:r>
              <w:rPr>
                <w:rFonts w:hint="eastAsia" w:ascii="宋体" w:hAnsi="宋体" w:eastAsia="宋体" w:cs="宋体"/>
                <w:b w:val="0"/>
                <w:bCs w:val="0"/>
                <w:color w:val="auto"/>
                <w:kern w:val="0"/>
                <w:sz w:val="20"/>
                <w:szCs w:val="20"/>
                <w:u w:val="none"/>
                <w:lang w:bidi="ar"/>
              </w:rPr>
              <w:t>大坦沙分公司厂区滤池等排风机维修项目</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49162.44</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45103.16</w:t>
            </w:r>
          </w:p>
        </w:tc>
        <w:tc>
          <w:tcPr>
            <w:tcW w:w="9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9%</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4378.68</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68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ascii="宋体" w:hAnsi="宋体" w:eastAsia="宋体" w:cs="宋体"/>
                <w:color w:val="auto"/>
                <w:kern w:val="0"/>
                <w:sz w:val="20"/>
                <w:szCs w:val="20"/>
                <w:lang w:val="en-US" w:eastAsia="zh-CN" w:bidi="ar"/>
              </w:rPr>
            </w:pPr>
          </w:p>
        </w:tc>
        <w:tc>
          <w:tcPr>
            <w:tcW w:w="3587"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合计</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273878.95</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251265.09</w:t>
            </w:r>
          </w:p>
        </w:tc>
        <w:tc>
          <w:tcPr>
            <w:tcW w:w="9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p>
        </w:tc>
      </w:tr>
    </w:tbl>
    <w:p>
      <w:pPr>
        <w:shd w:val="clear"/>
        <w:adjustRightInd w:val="0"/>
        <w:snapToGrid w:val="0"/>
        <w:spacing w:line="400" w:lineRule="exact"/>
        <w:jc w:val="left"/>
        <w:rPr>
          <w:rFonts w:hint="eastAsia" w:ascii="仿宋_GB2312" w:eastAsia="仿宋_GB2312"/>
          <w:color w:val="auto"/>
          <w:sz w:val="28"/>
          <w:szCs w:val="28"/>
          <w:highlight w:val="none"/>
          <w:u w:val="none"/>
        </w:rPr>
      </w:pPr>
      <w:r>
        <w:rPr>
          <w:rFonts w:hint="eastAsia" w:ascii="仿宋_GB2312" w:eastAsia="仿宋_GB2312"/>
          <w:color w:val="auto"/>
          <w:sz w:val="28"/>
          <w:szCs w:val="28"/>
          <w:highlight w:val="none"/>
          <w:u w:val="none"/>
          <w:lang w:val="en-US" w:eastAsia="zh-CN"/>
        </w:rPr>
        <w:t xml:space="preserve">  </w:t>
      </w:r>
      <w:r>
        <w:rPr>
          <w:rFonts w:hint="eastAsia" w:ascii="仿宋" w:hAnsi="仿宋" w:eastAsia="仿宋" w:cs="仿宋"/>
          <w:b/>
          <w:bCs/>
          <w:color w:val="auto"/>
          <w:sz w:val="28"/>
          <w:szCs w:val="28"/>
          <w:highlight w:val="none"/>
          <w:lang w:val="zh-CN"/>
        </w:rPr>
        <w:t>绿色施工安全防护措施费</w:t>
      </w:r>
      <w:r>
        <w:rPr>
          <w:rFonts w:hint="eastAsia" w:ascii="仿宋" w:hAnsi="仿宋" w:eastAsia="仿宋" w:cs="仿宋"/>
          <w:b/>
          <w:bCs/>
          <w:color w:val="auto"/>
          <w:sz w:val="28"/>
          <w:szCs w:val="28"/>
          <w:highlight w:val="none"/>
          <w:lang w:val="en-US" w:eastAsia="zh-CN"/>
        </w:rPr>
        <w:t>及暂列金</w:t>
      </w:r>
      <w:r>
        <w:rPr>
          <w:rFonts w:hint="eastAsia" w:ascii="仿宋" w:hAnsi="仿宋" w:eastAsia="仿宋" w:cs="仿宋"/>
          <w:b/>
          <w:bCs/>
          <w:color w:val="auto"/>
          <w:sz w:val="28"/>
          <w:szCs w:val="28"/>
          <w:highlight w:val="none"/>
          <w:lang w:val="zh-CN"/>
        </w:rPr>
        <w:t>为非竞争性费用，在报价时须按询价文件规定的金额填写，不得参与竞争，否则按无效报价处理。</w:t>
      </w:r>
    </w:p>
    <w:p>
      <w:pPr>
        <w:adjustRightInd w:val="0"/>
        <w:snapToGrid w:val="0"/>
        <w:spacing w:line="600" w:lineRule="exact"/>
        <w:jc w:val="left"/>
        <w:rPr>
          <w:rFonts w:hint="eastAsia" w:ascii="仿宋" w:hAnsi="仿宋" w:eastAsia="仿宋" w:cs="仿宋"/>
          <w:color w:val="auto"/>
          <w:sz w:val="28"/>
          <w:szCs w:val="28"/>
          <w:highlight w:val="none"/>
          <w:u w:val="single"/>
        </w:rPr>
      </w:pPr>
      <w:r>
        <w:rPr>
          <w:rFonts w:hint="eastAsia" w:ascii="仿宋" w:hAnsi="仿宋" w:eastAsia="仿宋" w:cs="仿宋"/>
          <w:color w:val="auto"/>
          <w:sz w:val="28"/>
          <w:szCs w:val="28"/>
          <w:highlight w:val="none"/>
        </w:rPr>
        <w:t>1.</w:t>
      </w:r>
      <w:r>
        <w:rPr>
          <w:rFonts w:hint="eastAsia" w:ascii="仿宋" w:hAnsi="仿宋" w:eastAsia="仿宋" w:cs="仿宋"/>
          <w:color w:val="auto"/>
          <w:sz w:val="28"/>
          <w:szCs w:val="28"/>
          <w:highlight w:val="none"/>
          <w:lang w:val="en-US" w:eastAsia="zh-CN"/>
        </w:rPr>
        <w:t>5</w:t>
      </w:r>
      <w:r>
        <w:rPr>
          <w:rFonts w:hint="eastAsia" w:ascii="仿宋" w:hAnsi="仿宋" w:eastAsia="仿宋" w:cs="仿宋"/>
          <w:color w:val="auto"/>
          <w:sz w:val="28"/>
          <w:szCs w:val="28"/>
          <w:highlight w:val="none"/>
        </w:rPr>
        <w:t>标段划分：</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w:t>
      </w:r>
      <w:r>
        <w:rPr>
          <w:rFonts w:hint="eastAsia" w:ascii="仿宋" w:hAnsi="仿宋" w:eastAsia="仿宋" w:cs="仿宋"/>
          <w:color w:val="auto"/>
          <w:sz w:val="28"/>
          <w:szCs w:val="28"/>
          <w:highlight w:val="none"/>
          <w:u w:val="single"/>
        </w:rPr>
        <w:t xml:space="preserve">      </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2.采购内容和范围</w:t>
      </w:r>
    </w:p>
    <w:p>
      <w:pPr>
        <w:adjustRightInd w:val="0"/>
        <w:snapToGrid w:val="0"/>
        <w:spacing w:line="600" w:lineRule="exact"/>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2.1采购内容和范围：</w:t>
      </w:r>
    </w:p>
    <w:tbl>
      <w:tblPr>
        <w:tblStyle w:val="24"/>
        <w:tblpPr w:leftFromText="180" w:rightFromText="180" w:vertAnchor="text" w:horzAnchor="page" w:tblpX="1392" w:tblpY="576"/>
        <w:tblOverlap w:val="never"/>
        <w:tblW w:w="883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531"/>
        <w:gridCol w:w="1074"/>
        <w:gridCol w:w="2500"/>
        <w:gridCol w:w="473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91" w:hRule="atLeast"/>
        </w:trPr>
        <w:tc>
          <w:tcPr>
            <w:tcW w:w="531"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序号</w:t>
            </w:r>
          </w:p>
        </w:tc>
        <w:tc>
          <w:tcPr>
            <w:tcW w:w="1074"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单位</w:t>
            </w:r>
          </w:p>
        </w:tc>
        <w:tc>
          <w:tcPr>
            <w:tcW w:w="2500"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子项目名称</w:t>
            </w:r>
          </w:p>
        </w:tc>
        <w:tc>
          <w:tcPr>
            <w:tcW w:w="4734"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主要实施内容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183" w:hRule="atLeast"/>
        </w:trPr>
        <w:tc>
          <w:tcPr>
            <w:tcW w:w="531"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1</w:t>
            </w:r>
          </w:p>
        </w:tc>
        <w:tc>
          <w:tcPr>
            <w:tcW w:w="107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大坦沙分</w:t>
            </w:r>
            <w:r>
              <w:rPr>
                <w:rFonts w:ascii="宋体" w:hAnsi="宋体" w:eastAsia="宋体" w:cs="宋体"/>
                <w:color w:val="auto"/>
                <w:kern w:val="0"/>
                <w:sz w:val="20"/>
                <w:szCs w:val="20"/>
                <w:lang w:val="en-US" w:eastAsia="zh-CN" w:bidi="ar"/>
              </w:rPr>
              <w:t>公司</w:t>
            </w:r>
          </w:p>
        </w:tc>
        <w:tc>
          <w:tcPr>
            <w:tcW w:w="2500"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大坦沙分公司三期滤池超越阀电动执行器优化等项目</w:t>
            </w:r>
          </w:p>
        </w:tc>
        <w:tc>
          <w:tcPr>
            <w:tcW w:w="473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1、更换二期滤池超越阀、出水阀，三期滤池超越阀、出水阀、总超越阀电动执行器，更换为IP67防水等级、配加热功能、配3m加长杆的电动执行器；</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2、二期滤池超越阀敷设远程控制电缆、开度反馈信号等至二期滤池低压电房；</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3、更换二期滤池超越阀、出水阀，三期滤池超越阀、出水阀、总超越阀阀门井盖板，更换为花纹不锈钢板；</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更换一二期10#鼓风机出风阀电动执行器，更换为带2.5米延长杆IP67 防水等级电动执行器，并扩建阀门井口更换阀门井盖板。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2</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i w:val="0"/>
                <w:color w:val="auto"/>
                <w:sz w:val="22"/>
                <w:szCs w:val="22"/>
                <w:u w:val="none"/>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大坦沙分公司二期内回流泵远程控制优化等项目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二期3号反应池内回流泵保留现有罗克韦尔POWERFLEX 400系列变频器，断开原PLC的控制回路，增加一台罗克韦尔2080-LC50-24QBB的PLC及RS485通讯模块（设备甲供），从变频器20号485接口敷设控制线至PLC的485通讯模块处，PLC接入以太网，完成接线后可直接在上位机增加对应内回流泵远程控制画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3</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2"/>
                <w:sz w:val="22"/>
                <w:szCs w:val="22"/>
                <w:u w:val="none"/>
                <w:lang w:val="en-US" w:eastAsia="zh-CN" w:bidi="ar-SA"/>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b w:val="0"/>
                <w:bCs w:val="0"/>
                <w:color w:val="auto"/>
                <w:kern w:val="0"/>
                <w:sz w:val="20"/>
                <w:szCs w:val="20"/>
                <w:u w:val="none"/>
                <w:lang w:bidi="ar"/>
              </w:rPr>
            </w:pPr>
            <w:r>
              <w:rPr>
                <w:rFonts w:hint="eastAsia" w:ascii="宋体" w:hAnsi="宋体" w:eastAsia="宋体" w:cs="宋体"/>
                <w:b w:val="0"/>
                <w:bCs w:val="0"/>
                <w:color w:val="auto"/>
                <w:kern w:val="0"/>
                <w:sz w:val="20"/>
                <w:szCs w:val="20"/>
                <w:u w:val="none"/>
                <w:lang w:bidi="ar"/>
              </w:rPr>
              <w:t>大坦沙分公司</w:t>
            </w:r>
            <w:r>
              <w:rPr>
                <w:rFonts w:hint="eastAsia" w:ascii="宋体" w:hAnsi="宋体" w:eastAsia="宋体" w:cs="宋体"/>
                <w:b w:val="0"/>
                <w:bCs w:val="0"/>
                <w:color w:val="auto"/>
                <w:kern w:val="0"/>
                <w:sz w:val="20"/>
                <w:szCs w:val="20"/>
                <w:u w:val="none"/>
                <w:lang w:val="en-US" w:eastAsia="zh-CN" w:bidi="ar"/>
              </w:rPr>
              <w:t>二期生化池光伏照明系统等维修</w:t>
            </w:r>
            <w:r>
              <w:rPr>
                <w:rFonts w:hint="eastAsia" w:ascii="宋体" w:hAnsi="宋体" w:eastAsia="宋体" w:cs="宋体"/>
                <w:b w:val="0"/>
                <w:bCs w:val="0"/>
                <w:color w:val="auto"/>
                <w:kern w:val="0"/>
                <w:sz w:val="20"/>
                <w:szCs w:val="20"/>
                <w:u w:val="none"/>
                <w:lang w:bidi="ar"/>
              </w:rPr>
              <w:t>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ind w:firstLine="400" w:firstLineChars="200"/>
              <w:jc w:val="both"/>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分项一：此项目将使用太阳能和风能作为主要能源供应，利用太阳能光电板和风机将太阳能和风能转化为电能。风光互补型路灯将通过整合能源，有效提高太阳能和风能的利用效率，为厂区提供更加高效、节能的路灯照明系统，响应发展要求。</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 xml:space="preserve">   分项二：二期生化池上的光伏板因老化问题，以及逆变器和蓄电池的损坏，导致二期生化池光伏系统无法正常运行。为确保整个光伏系统的可持续性和稳定性，拟计划对二期光伏系统进行全面修复和升级。确保系统恢复正常功能，并进一步提高整体运行效率。</w:t>
            </w:r>
          </w:p>
          <w:p>
            <w:pPr>
              <w:keepNext w:val="0"/>
              <w:keepLines w:val="0"/>
              <w:widowControl/>
              <w:numPr>
                <w:ilvl w:val="-1"/>
                <w:numId w:val="0"/>
              </w:numPr>
              <w:suppressLineNumbers w:val="0"/>
              <w:pBdr>
                <w:top w:val="none" w:color="auto" w:sz="0" w:space="0"/>
                <w:left w:val="none" w:color="auto" w:sz="0" w:space="0"/>
                <w:bottom w:val="none" w:color="auto" w:sz="0" w:space="0"/>
                <w:right w:val="none" w:color="auto" w:sz="0" w:space="0"/>
              </w:pBdr>
              <w:shd w:val="clear"/>
              <w:wordWrap/>
              <w:spacing w:line="240" w:lineRule="auto"/>
              <w:ind w:firstLine="0" w:firstLineChars="0"/>
              <w:jc w:val="center"/>
              <w:textAlignment w:val="center"/>
              <w:rPr>
                <w:rFonts w:hint="eastAsia" w:ascii="宋体" w:hAnsi="宋体" w:eastAsia="宋体" w:cs="宋体"/>
                <w:color w:val="auto"/>
                <w:kern w:val="0"/>
                <w:sz w:val="20"/>
                <w:szCs w:val="20"/>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4</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2"/>
                <w:sz w:val="22"/>
                <w:szCs w:val="22"/>
                <w:u w:val="none"/>
                <w:lang w:val="en-US" w:eastAsia="zh-CN" w:bidi="ar-SA"/>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b w:val="0"/>
                <w:bCs w:val="0"/>
                <w:color w:val="auto"/>
                <w:kern w:val="0"/>
                <w:sz w:val="20"/>
                <w:szCs w:val="20"/>
                <w:u w:val="none"/>
                <w:lang w:bidi="ar"/>
              </w:rPr>
            </w:pPr>
            <w:r>
              <w:rPr>
                <w:rFonts w:hint="eastAsia" w:ascii="宋体" w:hAnsi="宋体" w:eastAsia="宋体" w:cs="宋体"/>
                <w:b w:val="0"/>
                <w:bCs w:val="0"/>
                <w:color w:val="auto"/>
                <w:kern w:val="0"/>
                <w:sz w:val="20"/>
                <w:szCs w:val="20"/>
                <w:u w:val="none"/>
                <w:lang w:bidi="ar"/>
              </w:rPr>
              <w:t>大坦沙分公司厂区</w:t>
            </w:r>
            <w:r>
              <w:rPr>
                <w:rFonts w:hint="eastAsia" w:ascii="宋体" w:hAnsi="宋体" w:eastAsia="宋体" w:cs="宋体"/>
                <w:b w:val="0"/>
                <w:bCs w:val="0"/>
                <w:color w:val="auto"/>
                <w:kern w:val="0"/>
                <w:sz w:val="20"/>
                <w:szCs w:val="20"/>
                <w:u w:val="none"/>
                <w:lang w:val="en-US" w:eastAsia="zh-CN" w:bidi="ar"/>
              </w:rPr>
              <w:t>滤池等排风机维修</w:t>
            </w:r>
            <w:r>
              <w:rPr>
                <w:rFonts w:hint="eastAsia" w:ascii="宋体" w:hAnsi="宋体" w:eastAsia="宋体" w:cs="宋体"/>
                <w:b w:val="0"/>
                <w:bCs w:val="0"/>
                <w:color w:val="auto"/>
                <w:kern w:val="0"/>
                <w:sz w:val="20"/>
                <w:szCs w:val="20"/>
                <w:u w:val="none"/>
                <w:lang w:bidi="ar"/>
              </w:rPr>
              <w:t>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大坦沙分公司的一期、二期和三期滤池出水廊道共有14台排风机电机损坏且外壳、风叶老旧严重。拟计划将以上损坏的排风扇全部维修更换。</w:t>
            </w:r>
          </w:p>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一二、三期滤池设备间共有15台排风机损坏，滤池设备间空阔，自然通风条件良好，目前通过自然通风完全能满足空气流通的需求。且排气扇安装高度太高，影响其正常清洁和维护。拟计划拆除排气扇，保留风帽和隔网，满足其自然通风需求。</w:t>
            </w:r>
          </w:p>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一期滤池因埋地暗敷线路多处断裂，导致顶层坐地式排风机和池顶路灯相线对地，拟计划重新敷设配电线。</w:t>
            </w:r>
          </w:p>
          <w:p>
            <w:pPr>
              <w:keepNext w:val="0"/>
              <w:keepLines w:val="0"/>
              <w:widowControl/>
              <w:numPr>
                <w:ilvl w:val="-1"/>
                <w:numId w:val="0"/>
              </w:numPr>
              <w:suppressLineNumbers w:val="0"/>
              <w:pBdr>
                <w:top w:val="none" w:color="auto" w:sz="0" w:space="0"/>
                <w:left w:val="none" w:color="auto" w:sz="0" w:space="0"/>
                <w:bottom w:val="none" w:color="auto" w:sz="0" w:space="0"/>
                <w:right w:val="none" w:color="auto" w:sz="0" w:space="0"/>
              </w:pBdr>
              <w:shd w:val="clear"/>
              <w:wordWrap/>
              <w:spacing w:line="240" w:lineRule="auto"/>
              <w:ind w:firstLine="0" w:firstLineChars="0"/>
              <w:jc w:val="center"/>
              <w:textAlignment w:val="center"/>
              <w:rPr>
                <w:rFonts w:hint="eastAsia" w:ascii="宋体" w:hAnsi="宋体" w:eastAsia="宋体" w:cs="宋体"/>
                <w:color w:val="auto"/>
                <w:kern w:val="0"/>
                <w:sz w:val="20"/>
                <w:szCs w:val="20"/>
                <w:u w:val="none"/>
                <w:lang w:val="en-US" w:eastAsia="zh-CN" w:bidi="ar"/>
              </w:rPr>
            </w:pPr>
          </w:p>
        </w:tc>
      </w:tr>
    </w:tbl>
    <w:p>
      <w:pPr>
        <w:adjustRightInd w:val="0"/>
        <w:snapToGrid w:val="0"/>
        <w:spacing w:line="600" w:lineRule="exact"/>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2.2项目工期：</w:t>
      </w: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 xml:space="preserve">计划工期   □交货期  </w:t>
      </w:r>
      <w:r>
        <w:rPr>
          <w:rFonts w:hint="eastAsia" w:ascii="仿宋_GB2312" w:eastAsia="仿宋_GB2312"/>
          <w:color w:val="auto"/>
          <w:sz w:val="28"/>
          <w:szCs w:val="28"/>
          <w:highlight w:val="none"/>
        </w:rPr>
        <w:sym w:font="Wingdings 2" w:char="00A3"/>
      </w:r>
      <w:r>
        <w:rPr>
          <w:rFonts w:hint="eastAsia" w:ascii="仿宋_GB2312" w:eastAsia="仿宋_GB2312"/>
          <w:color w:val="auto"/>
          <w:sz w:val="28"/>
          <w:szCs w:val="28"/>
          <w:highlight w:val="none"/>
        </w:rPr>
        <w:t>服务期为</w:t>
      </w:r>
    </w:p>
    <w:tbl>
      <w:tblPr>
        <w:tblStyle w:val="25"/>
        <w:tblW w:w="46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0"/>
        <w:gridCol w:w="23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30" w:type="dxa"/>
            <w:vAlign w:val="center"/>
          </w:tcPr>
          <w:p>
            <w:pPr>
              <w:pStyle w:val="5"/>
              <w:shd w:val="clear"/>
              <w:ind w:left="0" w:leftChars="0" w:firstLine="0" w:firstLineChars="0"/>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项目</w:t>
            </w:r>
          </w:p>
        </w:tc>
        <w:tc>
          <w:tcPr>
            <w:tcW w:w="2330" w:type="dxa"/>
            <w:vAlign w:val="center"/>
          </w:tcPr>
          <w:p>
            <w:pPr>
              <w:pStyle w:val="5"/>
              <w:shd w:val="clear"/>
              <w:ind w:left="0" w:leftChars="0" w:firstLine="0" w:firstLineChars="0"/>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计划工期（天）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2330" w:type="dxa"/>
            <w:vAlign w:val="center"/>
          </w:tcPr>
          <w:p>
            <w:pPr>
              <w:pStyle w:val="5"/>
              <w:shd w:val="clear"/>
              <w:ind w:left="0" w:leftChars="0" w:firstLine="0" w:firstLineChars="0"/>
              <w:jc w:val="center"/>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项目一</w:t>
            </w:r>
          </w:p>
        </w:tc>
        <w:tc>
          <w:tcPr>
            <w:tcW w:w="2330" w:type="dxa"/>
            <w:vAlign w:val="center"/>
          </w:tcPr>
          <w:p>
            <w:pPr>
              <w:pStyle w:val="5"/>
              <w:shd w:val="clear"/>
              <w:ind w:left="0" w:leftChars="0" w:firstLine="0" w:firstLineChars="0"/>
              <w:jc w:val="center"/>
              <w:rPr>
                <w:rFonts w:hint="default"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2330" w:type="dxa"/>
            <w:vAlign w:val="center"/>
          </w:tcPr>
          <w:p>
            <w:pPr>
              <w:pStyle w:val="5"/>
              <w:shd w:val="clear"/>
              <w:ind w:left="0" w:leftChars="0" w:firstLine="0" w:firstLineChars="0"/>
              <w:jc w:val="center"/>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项目二</w:t>
            </w:r>
          </w:p>
        </w:tc>
        <w:tc>
          <w:tcPr>
            <w:tcW w:w="2330" w:type="dxa"/>
            <w:vAlign w:val="center"/>
          </w:tcPr>
          <w:p>
            <w:pPr>
              <w:pStyle w:val="5"/>
              <w:shd w:val="clear"/>
              <w:ind w:left="0" w:leftChars="0" w:firstLine="0" w:firstLineChars="0"/>
              <w:jc w:val="center"/>
              <w:rPr>
                <w:rFonts w:hint="default"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2330" w:type="dxa"/>
            <w:vAlign w:val="center"/>
          </w:tcPr>
          <w:p>
            <w:pPr>
              <w:pStyle w:val="5"/>
              <w:shd w:val="clear"/>
              <w:ind w:left="0" w:leftChars="0" w:firstLine="0" w:firstLineChars="0"/>
              <w:jc w:val="center"/>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项目三</w:t>
            </w:r>
          </w:p>
        </w:tc>
        <w:tc>
          <w:tcPr>
            <w:tcW w:w="2330" w:type="dxa"/>
            <w:vAlign w:val="center"/>
          </w:tcPr>
          <w:p>
            <w:pPr>
              <w:pStyle w:val="5"/>
              <w:shd w:val="clear"/>
              <w:ind w:left="0" w:leftChars="0" w:firstLine="0" w:firstLineChars="0"/>
              <w:jc w:val="center"/>
              <w:rPr>
                <w:rFonts w:hint="default"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2330" w:type="dxa"/>
            <w:vAlign w:val="center"/>
          </w:tcPr>
          <w:p>
            <w:pPr>
              <w:pStyle w:val="5"/>
              <w:shd w:val="clear"/>
              <w:ind w:left="0" w:leftChars="0" w:firstLine="0" w:firstLineChars="0"/>
              <w:jc w:val="center"/>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项目四</w:t>
            </w:r>
          </w:p>
        </w:tc>
        <w:tc>
          <w:tcPr>
            <w:tcW w:w="2330" w:type="dxa"/>
            <w:vAlign w:val="center"/>
          </w:tcPr>
          <w:p>
            <w:pPr>
              <w:pStyle w:val="5"/>
              <w:shd w:val="clear"/>
              <w:ind w:left="0" w:leftChars="0" w:firstLine="0" w:firstLineChars="0"/>
              <w:jc w:val="center"/>
              <w:rPr>
                <w:rFonts w:hint="default"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30</w:t>
            </w:r>
          </w:p>
        </w:tc>
      </w:tr>
    </w:tbl>
    <w:p>
      <w:pPr>
        <w:adjustRightInd w:val="0"/>
        <w:snapToGrid w:val="0"/>
        <w:spacing w:line="600" w:lineRule="exact"/>
        <w:jc w:val="left"/>
        <w:rPr>
          <w:rFonts w:hint="eastAsia" w:ascii="仿宋" w:hAnsi="仿宋" w:eastAsia="仿宋" w:cs="仿宋"/>
          <w:color w:val="auto"/>
          <w:sz w:val="28"/>
          <w:szCs w:val="28"/>
          <w:highlight w:val="none"/>
          <w:u w:val="single"/>
        </w:rPr>
      </w:pPr>
      <w:r>
        <w:rPr>
          <w:rFonts w:hint="eastAsia" w:ascii="仿宋" w:hAnsi="仿宋" w:eastAsia="仿宋" w:cs="仿宋"/>
          <w:color w:val="auto"/>
          <w:sz w:val="28"/>
          <w:szCs w:val="28"/>
          <w:highlight w:val="none"/>
        </w:rPr>
        <w:t>2.3地点：</w:t>
      </w:r>
      <w:r>
        <w:rPr>
          <w:rFonts w:hint="eastAsia" w:ascii="仿宋" w:hAnsi="仿宋" w:eastAsia="仿宋" w:cs="仿宋"/>
          <w:color w:val="auto"/>
          <w:sz w:val="28"/>
          <w:szCs w:val="28"/>
          <w:highlight w:val="none"/>
        </w:rPr>
        <w:sym w:font="Wingdings 2" w:char="0052"/>
      </w:r>
      <w:r>
        <w:rPr>
          <w:rFonts w:hint="eastAsia" w:ascii="仿宋" w:hAnsi="仿宋" w:eastAsia="仿宋" w:cs="仿宋"/>
          <w:color w:val="auto"/>
          <w:sz w:val="28"/>
          <w:szCs w:val="28"/>
          <w:highlight w:val="none"/>
        </w:rPr>
        <w:t xml:space="preserve">建设地点  □交货地点  </w:t>
      </w:r>
      <w:r>
        <w:rPr>
          <w:rFonts w:hint="eastAsia" w:ascii="仿宋" w:hAnsi="仿宋" w:eastAsia="仿宋" w:cs="仿宋"/>
          <w:color w:val="auto"/>
          <w:sz w:val="28"/>
          <w:szCs w:val="28"/>
          <w:highlight w:val="none"/>
        </w:rPr>
        <w:sym w:font="Wingdings 2" w:char="00A3"/>
      </w:r>
      <w:r>
        <w:rPr>
          <w:rFonts w:hint="eastAsia" w:ascii="仿宋" w:hAnsi="仿宋" w:eastAsia="仿宋" w:cs="仿宋"/>
          <w:color w:val="auto"/>
          <w:sz w:val="28"/>
          <w:szCs w:val="28"/>
          <w:highlight w:val="none"/>
        </w:rPr>
        <w:t>服务地点位于</w:t>
      </w:r>
      <w:r>
        <w:rPr>
          <w:rFonts w:hint="eastAsia" w:ascii="仿宋" w:hAnsi="仿宋" w:eastAsia="仿宋" w:cs="仿宋"/>
          <w:color w:val="auto"/>
          <w:sz w:val="28"/>
          <w:szCs w:val="28"/>
          <w:highlight w:val="none"/>
          <w:u w:val="single"/>
          <w:lang w:val="en-US" w:eastAsia="zh-CN"/>
        </w:rPr>
        <w:t>大坦沙分公司厂区</w:t>
      </w:r>
      <w:r>
        <w:rPr>
          <w:rFonts w:hint="eastAsia" w:ascii="仿宋" w:hAnsi="仿宋" w:eastAsia="仿宋" w:cs="仿宋"/>
          <w:color w:val="auto"/>
          <w:sz w:val="28"/>
          <w:szCs w:val="28"/>
          <w:highlight w:val="none"/>
          <w:u w:val="single"/>
        </w:rPr>
        <w:t xml:space="preserve">        </w:t>
      </w:r>
    </w:p>
    <w:p>
      <w:pPr>
        <w:shd w:val="clear"/>
        <w:adjustRightInd w:val="0"/>
        <w:snapToGrid w:val="0"/>
        <w:spacing w:line="600" w:lineRule="exact"/>
        <w:ind w:left="420" w:right="-370" w:rightChars="-176" w:hanging="420" w:hangingChars="15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2.4质量要求：</w:t>
      </w:r>
      <w:r>
        <w:rPr>
          <w:rFonts w:hint="eastAsia" w:ascii="仿宋" w:hAnsi="仿宋" w:eastAsia="仿宋" w:cs="仿宋"/>
          <w:color w:val="auto"/>
          <w:sz w:val="28"/>
          <w:szCs w:val="28"/>
          <w:highlight w:val="none"/>
        </w:rPr>
        <w:sym w:font="Wingdings 2" w:char="0052"/>
      </w:r>
      <w:r>
        <w:rPr>
          <w:rFonts w:hint="eastAsia" w:ascii="仿宋" w:hAnsi="仿宋" w:eastAsia="仿宋" w:cs="仿宋"/>
          <w:color w:val="auto"/>
          <w:sz w:val="28"/>
          <w:szCs w:val="28"/>
          <w:highlight w:val="none"/>
        </w:rPr>
        <w:t xml:space="preserve">施工质量要求   </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rPr>
        <w:t>货物质量标准或主要技术性能指标</w:t>
      </w:r>
    </w:p>
    <w:p>
      <w:pPr>
        <w:shd w:val="clear"/>
        <w:adjustRightInd w:val="0"/>
        <w:snapToGrid w:val="0"/>
        <w:spacing w:line="600" w:lineRule="exact"/>
        <w:ind w:left="420" w:right="-370" w:rightChars="-176" w:hanging="420" w:hangingChars="150"/>
        <w:jc w:val="left"/>
        <w:rPr>
          <w:rFonts w:hint="eastAsia" w:ascii="仿宋" w:hAnsi="仿宋" w:eastAsia="仿宋" w:cs="仿宋"/>
          <w:color w:val="auto"/>
          <w:sz w:val="28"/>
          <w:szCs w:val="28"/>
          <w:highlight w:val="none"/>
          <w:u w:val="single"/>
        </w:rPr>
      </w:pPr>
      <w:r>
        <w:rPr>
          <w:rFonts w:hint="eastAsia" w:ascii="仿宋" w:hAnsi="仿宋" w:eastAsia="仿宋" w:cs="仿宋"/>
          <w:color w:val="auto"/>
          <w:sz w:val="28"/>
          <w:szCs w:val="28"/>
          <w:highlight w:val="none"/>
        </w:rPr>
        <w:t>□服务质量要求或服务标准如下：</w:t>
      </w:r>
      <w:r>
        <w:rPr>
          <w:rFonts w:hint="eastAsia" w:ascii="仿宋" w:hAnsi="仿宋" w:eastAsia="仿宋" w:cs="仿宋"/>
          <w:color w:val="auto"/>
          <w:sz w:val="28"/>
          <w:szCs w:val="28"/>
          <w:highlight w:val="none"/>
          <w:u w:val="single"/>
        </w:rPr>
        <w:t xml:space="preserve"> 按合同条款和有关技术标准规范进</w:t>
      </w:r>
    </w:p>
    <w:p>
      <w:pPr>
        <w:shd w:val="clear"/>
        <w:adjustRightInd w:val="0"/>
        <w:snapToGrid w:val="0"/>
        <w:spacing w:line="600" w:lineRule="exact"/>
        <w:ind w:left="420" w:right="-370" w:rightChars="-176" w:hanging="420" w:hangingChars="150"/>
        <w:jc w:val="left"/>
        <w:rPr>
          <w:rFonts w:hint="eastAsia" w:ascii="仿宋" w:hAnsi="仿宋" w:eastAsia="仿宋" w:cs="仿宋"/>
          <w:color w:val="auto"/>
          <w:sz w:val="28"/>
          <w:szCs w:val="28"/>
          <w:highlight w:val="none"/>
          <w:u w:val="single"/>
          <w:shd w:val="clear"/>
          <w:lang w:val="en-US" w:eastAsia="zh-CN"/>
        </w:rPr>
      </w:pPr>
      <w:r>
        <w:rPr>
          <w:rFonts w:hint="eastAsia" w:ascii="仿宋" w:hAnsi="仿宋" w:eastAsia="仿宋" w:cs="仿宋"/>
          <w:color w:val="auto"/>
          <w:sz w:val="28"/>
          <w:szCs w:val="28"/>
          <w:highlight w:val="none"/>
          <w:u w:val="single"/>
        </w:rPr>
        <w:t>行验收。使用的各种材料必须符合设计和有关技术标准规范要求</w:t>
      </w:r>
      <w:r>
        <w:rPr>
          <w:rFonts w:hint="eastAsia" w:ascii="仿宋" w:hAnsi="仿宋" w:eastAsia="仿宋" w:cs="仿宋"/>
          <w:color w:val="auto"/>
          <w:sz w:val="28"/>
          <w:szCs w:val="28"/>
          <w:highlight w:val="none"/>
          <w:u w:val="single"/>
          <w:shd w:val="clear"/>
          <w:lang w:val="en-US" w:eastAsia="zh-CN"/>
        </w:rPr>
        <w:t>（详</w:t>
      </w:r>
    </w:p>
    <w:p>
      <w:pPr>
        <w:shd w:val="clear"/>
        <w:adjustRightInd w:val="0"/>
        <w:snapToGrid w:val="0"/>
        <w:spacing w:line="600" w:lineRule="exact"/>
        <w:ind w:left="420" w:right="-370" w:rightChars="-176" w:hanging="420" w:hangingChars="150"/>
        <w:jc w:val="left"/>
        <w:rPr>
          <w:rFonts w:hint="eastAsia" w:ascii="仿宋" w:hAnsi="仿宋" w:eastAsia="仿宋" w:cs="仿宋"/>
          <w:color w:val="auto"/>
          <w:sz w:val="28"/>
          <w:szCs w:val="28"/>
          <w:highlight w:val="none"/>
          <w:u w:val="single"/>
          <w:shd w:val="clear"/>
          <w:lang w:val="en-US" w:eastAsia="zh-CN"/>
        </w:rPr>
      </w:pPr>
      <w:r>
        <w:rPr>
          <w:rFonts w:hint="eastAsia" w:ascii="仿宋" w:hAnsi="仿宋" w:eastAsia="仿宋" w:cs="仿宋"/>
          <w:color w:val="auto"/>
          <w:sz w:val="28"/>
          <w:szCs w:val="28"/>
          <w:highlight w:val="none"/>
          <w:u w:val="single"/>
          <w:shd w:val="clear"/>
          <w:lang w:val="en-US" w:eastAsia="zh-CN"/>
        </w:rPr>
        <w:t>见采购需求）</w:t>
      </w:r>
    </w:p>
    <w:p>
      <w:pPr>
        <w:adjustRightInd w:val="0"/>
        <w:snapToGrid w:val="0"/>
        <w:spacing w:line="600" w:lineRule="exact"/>
        <w:ind w:left="420" w:right="-370" w:rightChars="-176" w:hanging="420" w:hangingChars="15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2.5其他：□安全目标如下：</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 xml:space="preserve"> </w:t>
      </w:r>
    </w:p>
    <w:p>
      <w:pPr>
        <w:adjustRightInd w:val="0"/>
        <w:snapToGrid w:val="0"/>
        <w:spacing w:line="600" w:lineRule="exact"/>
        <w:jc w:val="left"/>
        <w:rPr>
          <w:rFonts w:hint="eastAsia" w:asciiTheme="minorEastAsia" w:hAnsiTheme="minorEastAsia" w:eastAsiaTheme="minorEastAsia"/>
          <w:b/>
          <w:color w:val="auto"/>
          <w:sz w:val="32"/>
          <w:szCs w:val="32"/>
          <w:highlight w:val="none"/>
          <w:lang w:eastAsia="zh-CN"/>
        </w:rPr>
      </w:pPr>
      <w:r>
        <w:rPr>
          <w:rFonts w:hint="eastAsia" w:asciiTheme="minorEastAsia" w:hAnsiTheme="minorEastAsia"/>
          <w:b/>
          <w:color w:val="auto"/>
          <w:sz w:val="32"/>
          <w:szCs w:val="32"/>
          <w:highlight w:val="none"/>
        </w:rPr>
        <w:t>3.供应商资格要求</w:t>
      </w:r>
      <w:r>
        <w:rPr>
          <w:rFonts w:hint="eastAsia" w:asciiTheme="minorEastAsia" w:hAnsiTheme="minorEastAsia"/>
          <w:b/>
          <w:color w:val="auto"/>
          <w:sz w:val="32"/>
          <w:szCs w:val="32"/>
          <w:highlight w:val="none"/>
          <w:lang w:eastAsia="zh-CN"/>
        </w:rPr>
        <w:t>（</w:t>
      </w:r>
      <w:r>
        <w:rPr>
          <w:rFonts w:hint="eastAsia" w:asciiTheme="minorEastAsia" w:hAnsiTheme="minorEastAsia"/>
          <w:b/>
          <w:color w:val="auto"/>
          <w:sz w:val="32"/>
          <w:szCs w:val="32"/>
          <w:highlight w:val="none"/>
          <w:lang w:val="en-US" w:eastAsia="zh-CN"/>
        </w:rPr>
        <w:t>须提供复印件并加盖单位公章</w:t>
      </w:r>
      <w:r>
        <w:rPr>
          <w:rFonts w:hint="eastAsia" w:asciiTheme="minorEastAsia" w:hAnsiTheme="minorEastAsia"/>
          <w:b/>
          <w:color w:val="auto"/>
          <w:sz w:val="32"/>
          <w:szCs w:val="32"/>
          <w:highlight w:val="none"/>
          <w:lang w:eastAsia="zh-CN"/>
        </w:rPr>
        <w:t>）</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3.1参与本项目采购活动的供应商应当依法设立且满足如下要求：</w:t>
      </w:r>
    </w:p>
    <w:p>
      <w:pPr>
        <w:adjustRightInd w:val="0"/>
        <w:snapToGrid w:val="0"/>
        <w:spacing w:line="600" w:lineRule="exact"/>
        <w:jc w:val="left"/>
        <w:rPr>
          <w:rFonts w:hint="eastAsia" w:ascii="仿宋" w:hAnsi="仿宋" w:eastAsia="仿宋" w:cs="仿宋"/>
          <w:color w:val="auto"/>
          <w:sz w:val="28"/>
          <w:szCs w:val="28"/>
          <w:highlight w:val="none"/>
          <w:lang w:eastAsia="zh-CN"/>
        </w:rPr>
      </w:pPr>
      <w:r>
        <w:rPr>
          <w:rFonts w:hint="eastAsia" w:ascii="仿宋" w:hAnsi="仿宋" w:eastAsia="仿宋" w:cs="仿宋"/>
          <w:color w:val="auto"/>
          <w:sz w:val="28"/>
          <w:szCs w:val="28"/>
          <w:highlight w:val="none"/>
        </w:rPr>
        <w:sym w:font="Wingdings 2" w:char="0052"/>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1</w:t>
      </w:r>
      <w:r>
        <w:rPr>
          <w:rFonts w:hint="eastAsia" w:ascii="仿宋" w:hAnsi="仿宋" w:eastAsia="仿宋" w:cs="仿宋"/>
          <w:color w:val="auto"/>
          <w:sz w:val="28"/>
          <w:szCs w:val="28"/>
          <w:highlight w:val="none"/>
          <w:lang w:eastAsia="zh-CN"/>
        </w:rPr>
        <w:t>）报价单位须是在中华人民共和国境内注册的法人或其他组织，具有独立法人资格，持有事业单位登记管理部门核发的事业单位法人证书或工商行政管理部门核发的企业法人营业执照，且在有效期内。</w:t>
      </w:r>
    </w:p>
    <w:p>
      <w:pPr>
        <w:pStyle w:val="22"/>
        <w:keepNext w:val="0"/>
        <w:keepLines w:val="0"/>
        <w:widowControl/>
        <w:suppressLineNumbers w:val="0"/>
        <w:ind w:left="0" w:firstLine="0"/>
        <w:rPr>
          <w:rFonts w:hint="eastAsia" w:ascii="仿宋" w:hAnsi="仿宋" w:eastAsia="仿宋" w:cs="仿宋"/>
          <w:color w:val="auto"/>
          <w:kern w:val="2"/>
          <w:sz w:val="28"/>
          <w:szCs w:val="28"/>
          <w:highlight w:val="none"/>
          <w:u w:val="single"/>
          <w:lang w:val="en-US" w:eastAsia="zh-CN" w:bidi="ar-SA"/>
        </w:rPr>
      </w:pPr>
      <w:r>
        <w:rPr>
          <w:rFonts w:hint="eastAsia" w:ascii="仿宋" w:hAnsi="仿宋" w:eastAsia="仿宋" w:cs="仿宋"/>
          <w:color w:val="auto"/>
          <w:sz w:val="28"/>
          <w:szCs w:val="28"/>
          <w:highlight w:val="none"/>
        </w:rPr>
        <w:sym w:font="Wingdings 2" w:char="0052"/>
      </w:r>
      <w:r>
        <w:rPr>
          <w:rFonts w:hint="eastAsia" w:ascii="仿宋" w:hAnsi="仿宋" w:eastAsia="仿宋" w:cs="仿宋"/>
          <w:color w:val="auto"/>
          <w:kern w:val="2"/>
          <w:sz w:val="28"/>
          <w:szCs w:val="28"/>
          <w:highlight w:val="none"/>
          <w:u w:val="single"/>
          <w:lang w:val="en-US" w:eastAsia="zh-CN" w:bidi="ar-SA"/>
        </w:rPr>
        <w:t>（2）供应商应当具备以下资质之一：①机电工程施工总承包三级（或以上）资质；②建筑机电安装工程专业承包三级（或以上）资质；</w:t>
      </w:r>
    </w:p>
    <w:p>
      <w:pPr>
        <w:pStyle w:val="22"/>
        <w:keepNext w:val="0"/>
        <w:keepLines w:val="0"/>
        <w:widowControl/>
        <w:suppressLineNumbers w:val="0"/>
        <w:ind w:left="0" w:firstLine="0"/>
        <w:rPr>
          <w:rFonts w:hint="eastAsia" w:ascii="仿宋" w:hAnsi="仿宋" w:eastAsia="仿宋" w:cs="仿宋"/>
          <w:color w:val="auto"/>
          <w:sz w:val="28"/>
          <w:szCs w:val="28"/>
          <w:highlight w:val="none"/>
          <w:u w:val="single"/>
        </w:rPr>
      </w:pPr>
      <w:r>
        <w:rPr>
          <w:rFonts w:hint="eastAsia" w:ascii="仿宋" w:hAnsi="仿宋" w:eastAsia="仿宋" w:cs="仿宋"/>
          <w:color w:val="auto"/>
          <w:kern w:val="2"/>
          <w:sz w:val="28"/>
          <w:szCs w:val="28"/>
          <w:highlight w:val="none"/>
          <w:u w:val="single"/>
          <w:lang w:val="en-US" w:eastAsia="zh-CN" w:bidi="ar-SA"/>
        </w:rPr>
        <w:t>同时具有建设主管部门颁发且在有效期内的《安全生产许可证》资质。</w:t>
      </w:r>
      <w:r>
        <w:rPr>
          <w:rFonts w:hint="eastAsia" w:ascii="仿宋" w:hAnsi="仿宋" w:eastAsia="仿宋" w:cs="仿宋"/>
          <w:color w:val="auto"/>
          <w:sz w:val="28"/>
          <w:szCs w:val="28"/>
          <w:highlight w:val="none"/>
          <w:u w:val="single"/>
        </w:rPr>
        <w:t xml:space="preserve">    </w:t>
      </w:r>
    </w:p>
    <w:p>
      <w:pPr>
        <w:adjustRightInd w:val="0"/>
        <w:snapToGrid w:val="0"/>
        <w:spacing w:line="600" w:lineRule="exact"/>
        <w:jc w:val="left"/>
        <w:rPr>
          <w:rFonts w:hint="eastAsia" w:ascii="仿宋" w:hAnsi="仿宋" w:eastAsia="仿宋" w:cs="仿宋"/>
          <w:color w:val="0000FF"/>
          <w:sz w:val="28"/>
          <w:szCs w:val="28"/>
          <w:highlight w:val="none"/>
        </w:rPr>
      </w:pPr>
      <w:r>
        <w:rPr>
          <w:rFonts w:hint="eastAsia" w:ascii="仿宋" w:hAnsi="仿宋" w:eastAsia="仿宋" w:cs="仿宋"/>
          <w:color w:val="auto"/>
          <w:sz w:val="28"/>
          <w:szCs w:val="28"/>
          <w:highlight w:val="none"/>
        </w:rPr>
        <w:sym w:font="Wingdings 2" w:char="00A3"/>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3</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u w:val="single"/>
          <w:lang w:val="en-US" w:eastAsia="zh-CN"/>
        </w:rPr>
        <w:t xml:space="preserve"> /  </w:t>
      </w:r>
      <w:r>
        <w:rPr>
          <w:rFonts w:hint="eastAsia" w:ascii="仿宋" w:hAnsi="仿宋" w:eastAsia="仿宋" w:cs="仿宋"/>
          <w:color w:val="auto"/>
          <w:sz w:val="28"/>
          <w:szCs w:val="28"/>
          <w:highlight w:val="none"/>
          <w:lang w:val="en-US" w:eastAsia="zh-CN"/>
        </w:rPr>
        <w:t>年/月/日至今，</w:t>
      </w:r>
      <w:r>
        <w:rPr>
          <w:rFonts w:hint="eastAsia" w:ascii="仿宋" w:hAnsi="仿宋" w:eastAsia="仿宋" w:cs="仿宋"/>
          <w:color w:val="auto"/>
          <w:sz w:val="28"/>
          <w:szCs w:val="28"/>
          <w:highlight w:val="none"/>
        </w:rPr>
        <w:t>供应商</w:t>
      </w:r>
      <w:r>
        <w:rPr>
          <w:rFonts w:hint="eastAsia" w:ascii="仿宋" w:hAnsi="仿宋" w:eastAsia="仿宋" w:cs="仿宋"/>
          <w:color w:val="auto"/>
          <w:sz w:val="28"/>
          <w:szCs w:val="28"/>
          <w:highlight w:val="none"/>
          <w:lang w:val="en-US" w:eastAsia="zh-CN"/>
        </w:rPr>
        <w:t>最少</w:t>
      </w:r>
      <w:r>
        <w:rPr>
          <w:rFonts w:hint="eastAsia" w:ascii="仿宋" w:hAnsi="仿宋" w:eastAsia="仿宋" w:cs="仿宋"/>
          <w:color w:val="auto"/>
          <w:sz w:val="28"/>
          <w:szCs w:val="28"/>
          <w:highlight w:val="none"/>
        </w:rPr>
        <w:t>具有</w:t>
      </w:r>
      <w:r>
        <w:rPr>
          <w:rFonts w:hint="eastAsia" w:ascii="仿宋" w:hAnsi="仿宋" w:eastAsia="仿宋" w:cs="仿宋"/>
          <w:color w:val="auto"/>
          <w:sz w:val="28"/>
          <w:szCs w:val="28"/>
          <w:highlight w:val="none"/>
          <w:lang w:val="en-US" w:eastAsia="zh-CN"/>
        </w:rPr>
        <w:t>一项</w:t>
      </w:r>
      <w:r>
        <w:rPr>
          <w:rFonts w:hint="eastAsia" w:ascii="仿宋" w:hAnsi="仿宋" w:eastAsia="仿宋" w:cs="仿宋"/>
          <w:color w:val="auto"/>
          <w:sz w:val="28"/>
          <w:szCs w:val="28"/>
          <w:highlight w:val="none"/>
          <w:u w:val="single"/>
          <w:lang w:val="en-US" w:eastAsia="zh-CN"/>
        </w:rPr>
        <w:t xml:space="preserve"> /  </w:t>
      </w:r>
      <w:r>
        <w:rPr>
          <w:rFonts w:hint="eastAsia" w:ascii="仿宋" w:hAnsi="仿宋" w:eastAsia="仿宋" w:cs="仿宋"/>
          <w:color w:val="auto"/>
          <w:sz w:val="28"/>
          <w:szCs w:val="28"/>
          <w:highlight w:val="none"/>
        </w:rPr>
        <w:t>项目的业绩。（提供合同复印件证明，包括但不限于项目名称、金额及实施内容、合同盖章</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发票证明、</w:t>
      </w:r>
      <w:r>
        <w:rPr>
          <w:rFonts w:hint="eastAsia" w:ascii="仿宋" w:hAnsi="仿宋" w:eastAsia="仿宋" w:cs="仿宋"/>
          <w:color w:val="auto"/>
          <w:sz w:val="28"/>
          <w:szCs w:val="28"/>
          <w:highlight w:val="none"/>
        </w:rPr>
        <w:t>签订日期，加盖单位公章）</w:t>
      </w:r>
    </w:p>
    <w:p>
      <w:pPr>
        <w:adjustRightInd w:val="0"/>
        <w:snapToGrid w:val="0"/>
        <w:spacing w:line="600" w:lineRule="exact"/>
        <w:jc w:val="left"/>
        <w:rPr>
          <w:rFonts w:hint="eastAsia" w:ascii="仿宋" w:hAnsi="仿宋" w:eastAsia="仿宋" w:cs="仿宋"/>
          <w:color w:val="auto"/>
          <w:sz w:val="28"/>
          <w:szCs w:val="28"/>
          <w:highlight w:val="none"/>
          <w:u w:val="single"/>
        </w:rPr>
      </w:pPr>
      <w:r>
        <w:rPr>
          <w:rFonts w:hint="eastAsia" w:ascii="仿宋" w:hAnsi="仿宋" w:eastAsia="仿宋" w:cs="仿宋"/>
          <w:color w:val="auto"/>
          <w:sz w:val="28"/>
          <w:szCs w:val="28"/>
          <w:highlight w:val="none"/>
        </w:rPr>
        <w:sym w:font="Wingdings 2" w:char="0052"/>
      </w: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4</w:t>
      </w:r>
      <w:r>
        <w:rPr>
          <w:rFonts w:hint="eastAsia" w:ascii="仿宋" w:hAnsi="仿宋" w:eastAsia="仿宋" w:cs="仿宋"/>
          <w:color w:val="auto"/>
          <w:sz w:val="28"/>
          <w:szCs w:val="28"/>
          <w:highlight w:val="none"/>
        </w:rPr>
        <w:t>）项目负责人应当具备</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机电</w:t>
      </w:r>
      <w:r>
        <w:rPr>
          <w:rFonts w:hint="eastAsia" w:ascii="仿宋" w:hAnsi="仿宋" w:eastAsia="仿宋" w:cs="仿宋"/>
          <w:color w:val="auto"/>
          <w:sz w:val="28"/>
          <w:szCs w:val="28"/>
          <w:highlight w:val="none"/>
          <w:u w:val="single"/>
        </w:rPr>
        <w:t>工程专业二级（或以上级别）的注册建造师，同时持有项目负责人安全生产考核合格证（B类）（或能够提供广东省建筑施工企业管理人员安全生产考核信息系统安全生产管理人员证书信息的网页截图）</w:t>
      </w:r>
      <w:r>
        <w:rPr>
          <w:rFonts w:hint="eastAsia" w:ascii="仿宋" w:hAnsi="仿宋" w:eastAsia="仿宋" w:cs="仿宋"/>
          <w:color w:val="auto"/>
          <w:sz w:val="28"/>
          <w:szCs w:val="28"/>
          <w:highlight w:val="none"/>
          <w:u w:val="single"/>
          <w:lang w:eastAsia="zh-CN"/>
        </w:rPr>
        <w:t>；</w:t>
      </w:r>
      <w:r>
        <w:rPr>
          <w:rFonts w:hint="eastAsia" w:ascii="仿宋" w:hAnsi="仿宋" w:eastAsia="仿宋" w:cs="仿宋"/>
          <w:color w:val="auto"/>
          <w:sz w:val="28"/>
          <w:szCs w:val="28"/>
          <w:highlight w:val="none"/>
          <w:u w:val="single"/>
        </w:rPr>
        <w:t>（注：根据广东省建设信息中心关于启用新版“广东省建设执业资格注册管理信息系统”的通知，注册建造师电子证书须由本人在个人签名处手写签名，未手写签名或与签名图像笔迹不一致的，电子证书无效）</w:t>
      </w:r>
      <w:r>
        <w:rPr>
          <w:rFonts w:hint="eastAsia" w:ascii="仿宋" w:hAnsi="仿宋" w:eastAsia="仿宋" w:cs="仿宋"/>
          <w:color w:val="auto"/>
          <w:sz w:val="28"/>
          <w:szCs w:val="28"/>
          <w:highlight w:val="none"/>
          <w:u w:val="none"/>
        </w:rPr>
        <w:t>资格条件</w:t>
      </w:r>
      <w:r>
        <w:rPr>
          <w:rFonts w:hint="eastAsia" w:ascii="仿宋" w:hAnsi="仿宋" w:eastAsia="仿宋" w:cs="仿宋"/>
          <w:color w:val="auto"/>
          <w:sz w:val="28"/>
          <w:szCs w:val="28"/>
          <w:highlight w:val="none"/>
          <w:u w:val="none"/>
          <w:lang w:eastAsia="zh-CN"/>
        </w:rPr>
        <w:t>。</w:t>
      </w:r>
    </w:p>
    <w:p>
      <w:pPr>
        <w:pStyle w:val="23"/>
        <w:adjustRightInd w:val="0"/>
        <w:snapToGrid w:val="0"/>
        <w:spacing w:line="600" w:lineRule="exact"/>
        <w:ind w:firstLine="0"/>
        <w:jc w:val="left"/>
        <w:rPr>
          <w:rFonts w:hint="eastAsia" w:ascii="仿宋" w:hAnsi="仿宋" w:eastAsia="仿宋" w:cs="仿宋"/>
          <w:color w:val="auto"/>
          <w:sz w:val="28"/>
          <w:szCs w:val="28"/>
          <w:u w:val="single"/>
          <w:lang w:val="en-US" w:eastAsia="zh-CN"/>
        </w:rPr>
      </w:pPr>
      <w:r>
        <w:rPr>
          <w:rFonts w:hint="eastAsia" w:ascii="仿宋" w:hAnsi="仿宋" w:eastAsia="仿宋" w:cs="仿宋"/>
          <w:color w:val="auto"/>
          <w:sz w:val="28"/>
          <w:szCs w:val="28"/>
          <w:highlight w:val="none"/>
        </w:rPr>
        <w:sym w:font="Wingdings 2" w:char="0052"/>
      </w: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5</w:t>
      </w: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u w:val="single"/>
        </w:rPr>
        <w:t>专职安全人员要求：须具有安全生产考核合格证（C类）（或能够提供广东省建筑施工企业管理人员安全生产考核信息系统安全生产管理人员证书信息的网页截图）</w:t>
      </w:r>
      <w:r>
        <w:rPr>
          <w:rFonts w:hint="eastAsia" w:ascii="仿宋" w:hAnsi="仿宋" w:eastAsia="仿宋" w:cs="仿宋"/>
          <w:color w:val="auto"/>
          <w:sz w:val="28"/>
          <w:szCs w:val="28"/>
          <w:u w:val="single"/>
          <w:lang w:eastAsia="zh-CN"/>
        </w:rPr>
        <w:t>。</w:t>
      </w:r>
      <w:r>
        <w:rPr>
          <w:rFonts w:hint="eastAsia" w:ascii="仿宋" w:hAnsi="仿宋" w:eastAsia="仿宋" w:cs="仿宋"/>
          <w:color w:val="auto"/>
          <w:sz w:val="28"/>
          <w:szCs w:val="28"/>
          <w:u w:val="single"/>
          <w:lang w:val="en-US" w:eastAsia="zh-CN"/>
        </w:rPr>
        <w:t>项目负责人不得同时兼任本项目专职安全人员。</w:t>
      </w:r>
    </w:p>
    <w:p>
      <w:pPr>
        <w:pStyle w:val="23"/>
        <w:adjustRightInd w:val="0"/>
        <w:snapToGrid w:val="0"/>
        <w:spacing w:line="600" w:lineRule="exact"/>
        <w:ind w:firstLine="560" w:firstLineChars="200"/>
        <w:jc w:val="left"/>
        <w:rPr>
          <w:rFonts w:hint="default" w:ascii="仿宋" w:hAnsi="仿宋" w:eastAsia="仿宋" w:cs="仿宋"/>
          <w:color w:val="auto"/>
          <w:sz w:val="28"/>
          <w:szCs w:val="28"/>
          <w:u w:val="single"/>
          <w:lang w:val="en-US" w:eastAsia="zh-CN"/>
        </w:rPr>
      </w:pPr>
      <w:r>
        <w:rPr>
          <w:rFonts w:hint="eastAsia" w:ascii="仿宋" w:hAnsi="仿宋" w:eastAsia="仿宋" w:cs="仿宋"/>
          <w:color w:val="auto"/>
          <w:sz w:val="28"/>
          <w:szCs w:val="28"/>
          <w:highlight w:val="none"/>
        </w:rPr>
        <w:sym w:font="Wingdings 2" w:char="0052"/>
      </w: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u w:val="single"/>
          <w:lang w:val="en-US" w:eastAsia="zh-CN"/>
        </w:rPr>
        <w:t>以上人员须提供在本单位近三个月社保记录（以加盖社会保险基金管理中心印章的《缴费历史明细表》或《社会保险参保人员证明》为准。</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3.2供应商在响应文件提交截止日期止不得存在下列情形之一</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须出具不得存在情形承诺函</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rPr>
        <w:t>：</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（1）与本项目其他供应商的单位负责人为同一人。</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（2）与本项目其他供应商存在控股或管理关系。</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（3）被本项目所在地省级以上行业主管部门依法暂停、取消投标或禁止参加采购活动且处于有效期内的。</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（4）处于被责令停产停业、暂扣或者吊销执照、暂扣或者吊销许可证、吊销资质证书状态。</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（5）进入清算程序，或被宣告破产，或其他丧失履约能力情形的。</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（6）近三年内因发生质量或安全生产事故等受到行政处罚且在处罚期内的。</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（7）被最高人民法院在“信用中国”网站（www.creditchina.gov.cn）或各级信用信息共享平台中列入失信被执行人名单。</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（8）被“全国企业信用信息公示系统”（网址：http://www.gsxt.gov.cn/）</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列入经营异常名录和严重违法企业名单。</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（9）被“信用广州”网站纳入失信被执行人名单（失信黑名单）。</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w:t>
      </w:r>
      <w:r>
        <w:rPr>
          <w:rFonts w:hint="eastAsia" w:ascii="仿宋" w:hAnsi="仿宋" w:eastAsia="仿宋" w:cs="仿宋"/>
          <w:color w:val="auto"/>
          <w:sz w:val="28"/>
          <w:szCs w:val="28"/>
          <w:highlight w:val="none"/>
          <w:lang w:val="en-US" w:eastAsia="zh-CN"/>
        </w:rPr>
        <w:t>0</w:t>
      </w:r>
      <w:r>
        <w:rPr>
          <w:rFonts w:hint="eastAsia" w:ascii="仿宋" w:hAnsi="仿宋" w:eastAsia="仿宋" w:cs="仿宋"/>
          <w:color w:val="auto"/>
          <w:sz w:val="28"/>
          <w:szCs w:val="28"/>
          <w:highlight w:val="none"/>
        </w:rPr>
        <w:t>）其他违法违纪行为，经审查认为不宜被邀请参加采购活动的。</w:t>
      </w:r>
    </w:p>
    <w:p>
      <w:pPr>
        <w:adjustRightInd w:val="0"/>
        <w:snapToGrid w:val="0"/>
        <w:spacing w:line="600" w:lineRule="exact"/>
        <w:ind w:firstLine="420" w:firstLineChars="150"/>
        <w:jc w:val="left"/>
        <w:rPr>
          <w:rFonts w:hint="eastAsia" w:ascii="仿宋" w:hAnsi="仿宋" w:eastAsia="仿宋" w:cs="仿宋"/>
          <w:color w:val="auto"/>
          <w:sz w:val="28"/>
          <w:szCs w:val="28"/>
          <w:highlight w:val="none"/>
          <w:u w:val="single"/>
        </w:rPr>
      </w:pPr>
      <w:r>
        <w:rPr>
          <w:rFonts w:hint="eastAsia" w:ascii="仿宋" w:hAnsi="仿宋" w:eastAsia="仿宋" w:cs="仿宋"/>
          <w:color w:val="auto"/>
          <w:sz w:val="28"/>
          <w:szCs w:val="28"/>
          <w:highlight w:val="none"/>
        </w:rPr>
        <w:t>（1</w:t>
      </w:r>
      <w:r>
        <w:rPr>
          <w:rFonts w:hint="eastAsia" w:ascii="仿宋" w:hAnsi="仿宋" w:eastAsia="仿宋" w:cs="仿宋"/>
          <w:color w:val="auto"/>
          <w:sz w:val="28"/>
          <w:szCs w:val="28"/>
          <w:highlight w:val="none"/>
          <w:lang w:val="en-US" w:eastAsia="zh-CN"/>
        </w:rPr>
        <w:t>1</w:t>
      </w:r>
      <w:r>
        <w:rPr>
          <w:rFonts w:hint="eastAsia" w:ascii="仿宋" w:hAnsi="仿宋" w:eastAsia="仿宋" w:cs="仿宋"/>
          <w:color w:val="auto"/>
          <w:sz w:val="28"/>
          <w:szCs w:val="28"/>
          <w:highlight w:val="none"/>
        </w:rPr>
        <w:t>）其他禁止情形：</w:t>
      </w:r>
      <w:r>
        <w:rPr>
          <w:rFonts w:hint="eastAsia" w:ascii="仿宋" w:hAnsi="仿宋" w:eastAsia="仿宋" w:cs="仿宋"/>
          <w:color w:val="auto"/>
          <w:sz w:val="28"/>
          <w:szCs w:val="28"/>
          <w:highlight w:val="none"/>
          <w:u w:val="single"/>
        </w:rPr>
        <w:t xml:space="preserve">                                               </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3.3本次项目</w:t>
      </w:r>
      <w:r>
        <w:rPr>
          <w:rFonts w:hint="eastAsia" w:ascii="仿宋" w:hAnsi="仿宋" w:eastAsia="仿宋" w:cs="仿宋"/>
          <w:color w:val="auto"/>
          <w:sz w:val="28"/>
          <w:szCs w:val="28"/>
          <w:highlight w:val="none"/>
          <w:u w:val="single"/>
        </w:rPr>
        <w:t>不接受</w:t>
      </w:r>
      <w:r>
        <w:rPr>
          <w:rFonts w:hint="eastAsia" w:ascii="仿宋" w:hAnsi="仿宋" w:eastAsia="仿宋" w:cs="仿宋"/>
          <w:color w:val="auto"/>
          <w:sz w:val="28"/>
          <w:szCs w:val="28"/>
          <w:highlight w:val="none"/>
        </w:rPr>
        <w:t>联合体参加采购活动</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4.采购文件的获取</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4.1获取时间</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从</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2024</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10</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31</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日至</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2024</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11</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 xml:space="preserve">4 </w:t>
      </w:r>
      <w:r>
        <w:rPr>
          <w:rFonts w:hint="eastAsia" w:ascii="仿宋" w:hAnsi="仿宋" w:eastAsia="仿宋" w:cs="仿宋"/>
          <w:color w:val="auto"/>
          <w:sz w:val="28"/>
          <w:szCs w:val="28"/>
          <w:highlight w:val="none"/>
        </w:rPr>
        <w:t>日（北京时间）</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4.2获取方式</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在</w:t>
      </w:r>
      <w:r>
        <w:rPr>
          <w:rFonts w:hint="eastAsia" w:ascii="仿宋" w:hAnsi="仿宋" w:eastAsia="仿宋" w:cs="仿宋"/>
          <w:color w:val="auto"/>
          <w:sz w:val="28"/>
          <w:szCs w:val="28"/>
          <w:highlight w:val="none"/>
          <w:u w:val="single"/>
          <w:lang w:val="en-US" w:eastAsia="zh-CN"/>
        </w:rPr>
        <w:t>广州市净水有限公司门户网站</w:t>
      </w:r>
      <w:r>
        <w:rPr>
          <w:rFonts w:hint="eastAsia" w:ascii="仿宋" w:hAnsi="仿宋" w:eastAsia="仿宋" w:cs="仿宋"/>
          <w:color w:val="auto"/>
          <w:sz w:val="28"/>
          <w:szCs w:val="28"/>
          <w:highlight w:val="none"/>
        </w:rPr>
        <w:t>下载采购文件</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无需报名。</w:t>
      </w:r>
      <w:r>
        <w:rPr>
          <w:rFonts w:hint="eastAsia" w:ascii="仿宋" w:hAnsi="仿宋" w:eastAsia="仿宋" w:cs="仿宋"/>
          <w:color w:val="auto"/>
          <w:sz w:val="28"/>
          <w:szCs w:val="28"/>
          <w:highlight w:val="none"/>
        </w:rPr>
        <w:t xml:space="preserve"> </w:t>
      </w:r>
    </w:p>
    <w:p>
      <w:pPr>
        <w:numPr>
          <w:ilvl w:val="0"/>
          <w:numId w:val="3"/>
        </w:numPr>
        <w:adjustRightInd w:val="0"/>
        <w:snapToGrid w:val="0"/>
        <w:spacing w:line="600" w:lineRule="exact"/>
        <w:jc w:val="left"/>
        <w:rPr>
          <w:rFonts w:hint="eastAsia" w:ascii="仿宋" w:hAnsi="仿宋" w:eastAsia="仿宋" w:cs="仿宋"/>
          <w:b/>
          <w:color w:val="auto"/>
          <w:sz w:val="32"/>
          <w:szCs w:val="32"/>
          <w:highlight w:val="none"/>
          <w:lang w:val="en-US" w:eastAsia="zh-CN"/>
        </w:rPr>
      </w:pPr>
      <w:r>
        <w:rPr>
          <w:rFonts w:hint="eastAsia" w:ascii="仿宋" w:hAnsi="仿宋" w:eastAsia="仿宋" w:cs="仿宋"/>
          <w:b/>
          <w:color w:val="auto"/>
          <w:sz w:val="32"/>
          <w:szCs w:val="32"/>
          <w:highlight w:val="none"/>
          <w:lang w:val="en-US" w:eastAsia="zh-CN"/>
        </w:rPr>
        <w:t>踏勘现场</w:t>
      </w:r>
    </w:p>
    <w:p>
      <w:pPr>
        <w:adjustRightInd w:val="0"/>
        <w:snapToGrid w:val="0"/>
        <w:spacing w:line="600" w:lineRule="exac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sym w:font="Wingdings 2" w:char="0052"/>
      </w:r>
      <w:r>
        <w:rPr>
          <w:rFonts w:hint="eastAsia" w:ascii="仿宋" w:hAnsi="仿宋" w:eastAsia="仿宋" w:cs="仿宋"/>
          <w:color w:val="auto"/>
          <w:sz w:val="28"/>
          <w:szCs w:val="28"/>
          <w:highlight w:val="none"/>
        </w:rPr>
        <w:t>不组织</w:t>
      </w:r>
    </w:p>
    <w:p>
      <w:pPr>
        <w:adjustRightInd w:val="0"/>
        <w:snapToGrid w:val="0"/>
        <w:spacing w:line="360" w:lineRule="auto"/>
        <w:rPr>
          <w:rFonts w:hint="eastAsia" w:ascii="仿宋" w:hAnsi="仿宋" w:eastAsia="仿宋" w:cs="仿宋"/>
          <w:color w:val="000000" w:themeColor="text1"/>
          <w:sz w:val="28"/>
          <w:szCs w:val="28"/>
          <w:highlight w:val="none"/>
          <w:lang w:val="zh-CN"/>
          <w14:textFill>
            <w14:solidFill>
              <w14:schemeClr w14:val="tx1"/>
            </w14:solidFill>
          </w14:textFill>
        </w:rPr>
      </w:pPr>
      <w:r>
        <w:rPr>
          <w:rFonts w:hint="eastAsia" w:ascii="仿宋" w:hAnsi="仿宋" w:eastAsia="仿宋" w:cs="仿宋"/>
          <w:color w:val="auto"/>
          <w:sz w:val="28"/>
          <w:szCs w:val="28"/>
          <w:highlight w:val="none"/>
        </w:rPr>
        <w:sym w:font="Wingdings 2" w:char="00A3"/>
      </w:r>
      <w:r>
        <w:rPr>
          <w:rFonts w:hint="eastAsia" w:ascii="仿宋" w:hAnsi="仿宋" w:eastAsia="仿宋" w:cs="仿宋"/>
          <w:color w:val="auto"/>
          <w:sz w:val="28"/>
          <w:szCs w:val="28"/>
          <w:highlight w:val="none"/>
        </w:rPr>
        <w:t>组织</w:t>
      </w:r>
      <w:r>
        <w:rPr>
          <w:rFonts w:hint="eastAsia" w:ascii="仿宋" w:hAnsi="仿宋" w:eastAsia="仿宋" w:cs="仿宋"/>
          <w:color w:val="auto"/>
          <w:sz w:val="28"/>
          <w:szCs w:val="28"/>
          <w:highlight w:val="none"/>
          <w:lang w:eastAsia="zh-CN"/>
        </w:rPr>
        <w:t>：</w:t>
      </w:r>
      <w:r>
        <w:rPr>
          <w:rFonts w:hint="eastAsia" w:ascii="仿宋" w:hAnsi="仿宋" w:eastAsia="仿宋" w:cs="仿宋"/>
          <w:color w:val="000000" w:themeColor="text1"/>
          <w:sz w:val="28"/>
          <w:szCs w:val="28"/>
          <w:highlight w:val="none"/>
          <w:lang w:val="en-US" w:eastAsia="zh-CN"/>
          <w14:textFill>
            <w14:solidFill>
              <w14:schemeClr w14:val="tx1"/>
            </w14:solidFill>
          </w14:textFill>
        </w:rPr>
        <w:t>供应商可</w:t>
      </w:r>
      <w:r>
        <w:rPr>
          <w:rFonts w:hint="eastAsia" w:ascii="仿宋" w:hAnsi="仿宋" w:eastAsia="仿宋" w:cs="仿宋"/>
          <w:color w:val="000000" w:themeColor="text1"/>
          <w:sz w:val="28"/>
          <w:szCs w:val="28"/>
          <w:highlight w:val="none"/>
          <w:lang w:val="zh-CN"/>
          <w14:textFill>
            <w14:solidFill>
              <w14:schemeClr w14:val="tx1"/>
            </w14:solidFill>
          </w14:textFill>
        </w:rPr>
        <w:t>自行</w:t>
      </w:r>
      <w:r>
        <w:rPr>
          <w:rFonts w:hint="eastAsia" w:ascii="仿宋" w:hAnsi="仿宋" w:eastAsia="仿宋" w:cs="仿宋"/>
          <w:color w:val="000000" w:themeColor="text1"/>
          <w:sz w:val="28"/>
          <w:szCs w:val="28"/>
          <w:highlight w:val="none"/>
          <w:lang w:val="en-US" w:eastAsia="zh-CN"/>
          <w14:textFill>
            <w14:solidFill>
              <w14:schemeClr w14:val="tx1"/>
            </w14:solidFill>
          </w14:textFill>
        </w:rPr>
        <w:t>选择是否前往现场踏勘</w:t>
      </w:r>
      <w:r>
        <w:rPr>
          <w:rFonts w:hint="eastAsia" w:ascii="仿宋" w:hAnsi="仿宋" w:eastAsia="仿宋" w:cs="仿宋"/>
          <w:color w:val="000000" w:themeColor="text1"/>
          <w:sz w:val="28"/>
          <w:szCs w:val="28"/>
          <w:highlight w:val="none"/>
          <w:lang w:val="zh-CN"/>
          <w14:textFill>
            <w14:solidFill>
              <w14:schemeClr w14:val="tx1"/>
            </w14:solidFill>
          </w14:textFill>
        </w:rPr>
        <w:t>，</w:t>
      </w:r>
      <w:r>
        <w:rPr>
          <w:rFonts w:hint="eastAsia" w:ascii="仿宋" w:hAnsi="仿宋" w:eastAsia="仿宋" w:cs="仿宋"/>
          <w:color w:val="000000" w:themeColor="text1"/>
          <w:sz w:val="28"/>
          <w:szCs w:val="28"/>
          <w:highlight w:val="none"/>
          <w:lang w:val="en-US" w:eastAsia="zh-CN"/>
          <w14:textFill>
            <w14:solidFill>
              <w14:schemeClr w14:val="tx1"/>
            </w14:solidFill>
          </w14:textFill>
        </w:rPr>
        <w:t>若前往现场踏勘须在规定时间内到达集中地点，逾期不再接待</w:t>
      </w:r>
      <w:r>
        <w:rPr>
          <w:rFonts w:hint="eastAsia" w:ascii="仿宋" w:hAnsi="仿宋" w:eastAsia="仿宋" w:cs="仿宋"/>
          <w:color w:val="000000" w:themeColor="text1"/>
          <w:sz w:val="28"/>
          <w:szCs w:val="28"/>
          <w:highlight w:val="none"/>
          <w:lang w:val="zh-CN"/>
          <w14:textFill>
            <w14:solidFill>
              <w14:schemeClr w14:val="tx1"/>
            </w14:solidFill>
          </w14:textFill>
        </w:rPr>
        <w:t>。</w:t>
      </w:r>
    </w:p>
    <w:p>
      <w:pPr>
        <w:pStyle w:val="23"/>
        <w:spacing w:line="360" w:lineRule="auto"/>
        <w:ind w:firstLine="0"/>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踏勘现场联系人：</w:t>
      </w:r>
    </w:p>
    <w:p>
      <w:pPr>
        <w:pStyle w:val="23"/>
        <w:adjustRightInd w:val="0"/>
        <w:snapToGrid w:val="0"/>
        <w:spacing w:line="360" w:lineRule="auto"/>
        <w:ind w:firstLine="0" w:firstLineChars="0"/>
        <w:rPr>
          <w:rFonts w:hint="eastAsia" w:ascii="仿宋" w:hAnsi="仿宋" w:eastAsia="仿宋" w:cs="仿宋"/>
          <w:color w:val="auto"/>
          <w:sz w:val="28"/>
          <w:szCs w:val="28"/>
          <w:highlight w:val="none"/>
          <w:u w:val="none"/>
        </w:rPr>
      </w:pPr>
      <w:r>
        <w:rPr>
          <w:rFonts w:hint="eastAsia" w:ascii="仿宋" w:hAnsi="仿宋" w:eastAsia="仿宋" w:cs="仿宋"/>
          <w:color w:val="auto"/>
          <w:kern w:val="2"/>
          <w:sz w:val="28"/>
          <w:szCs w:val="28"/>
          <w:highlight w:val="none"/>
          <w:lang w:val="en-US" w:eastAsia="zh-CN"/>
        </w:rPr>
        <w:t>踏勘现场联系人联系方式：</w:t>
      </w:r>
    </w:p>
    <w:p>
      <w:pPr>
        <w:adjustRightInd w:val="0"/>
        <w:snapToGrid w:val="0"/>
        <w:spacing w:line="360" w:lineRule="auto"/>
        <w:ind w:firstLine="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踏勘（答疑）</w:t>
      </w:r>
      <w:r>
        <w:rPr>
          <w:rFonts w:hint="eastAsia" w:ascii="仿宋" w:hAnsi="仿宋" w:eastAsia="仿宋" w:cs="仿宋"/>
          <w:color w:val="auto"/>
          <w:sz w:val="28"/>
          <w:szCs w:val="28"/>
          <w:highlight w:val="none"/>
          <w:lang w:val="en-US" w:eastAsia="zh-CN"/>
        </w:rPr>
        <w:t>集合</w:t>
      </w:r>
      <w:r>
        <w:rPr>
          <w:rFonts w:hint="eastAsia" w:ascii="仿宋" w:hAnsi="仿宋" w:eastAsia="仿宋" w:cs="仿宋"/>
          <w:color w:val="auto"/>
          <w:sz w:val="28"/>
          <w:szCs w:val="28"/>
          <w:highlight w:val="none"/>
        </w:rPr>
        <w:t>时间：</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日</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时</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分</w:t>
      </w:r>
      <w:r>
        <w:rPr>
          <w:rFonts w:hint="eastAsia" w:ascii="仿宋" w:hAnsi="仿宋" w:eastAsia="仿宋" w:cs="仿宋"/>
          <w:color w:val="auto"/>
          <w:sz w:val="28"/>
          <w:szCs w:val="28"/>
          <w:highlight w:val="none"/>
          <w:lang w:val="en-US" w:eastAsia="zh-CN"/>
        </w:rPr>
        <w:t>-</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时</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分</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u w:val="none"/>
        </w:rPr>
        <w:t xml:space="preserve">                  </w:t>
      </w:r>
      <w:r>
        <w:rPr>
          <w:rFonts w:hint="eastAsia" w:ascii="仿宋" w:hAnsi="仿宋" w:eastAsia="仿宋" w:cs="仿宋"/>
          <w:color w:val="auto"/>
          <w:sz w:val="28"/>
          <w:szCs w:val="28"/>
          <w:highlight w:val="none"/>
        </w:rPr>
        <w:t xml:space="preserve">   </w:t>
      </w:r>
    </w:p>
    <w:p>
      <w:pPr>
        <w:adjustRightInd w:val="0"/>
        <w:snapToGrid w:val="0"/>
        <w:spacing w:line="600" w:lineRule="exact"/>
        <w:jc w:val="left"/>
        <w:rPr>
          <w:rFonts w:hint="eastAsia" w:asciiTheme="minorEastAsia" w:hAnsiTheme="minorEastAsia" w:eastAsiaTheme="minorEastAsia"/>
          <w:b/>
          <w:color w:val="auto"/>
          <w:sz w:val="32"/>
          <w:szCs w:val="32"/>
          <w:highlight w:val="none"/>
          <w:lang w:val="en-US" w:eastAsia="zh-CN"/>
        </w:rPr>
      </w:pPr>
      <w:r>
        <w:rPr>
          <w:rFonts w:hint="eastAsia" w:ascii="仿宋" w:hAnsi="仿宋" w:eastAsia="仿宋" w:cs="仿宋"/>
          <w:color w:val="auto"/>
          <w:sz w:val="28"/>
          <w:szCs w:val="28"/>
          <w:highlight w:val="none"/>
        </w:rPr>
        <w:t>踏勘集中地点：</w:t>
      </w:r>
      <w:r>
        <w:rPr>
          <w:rFonts w:hint="eastAsia" w:ascii="仿宋" w:hAnsi="仿宋" w:eastAsia="仿宋" w:cs="仿宋"/>
          <w:color w:val="auto"/>
          <w:sz w:val="28"/>
          <w:szCs w:val="28"/>
          <w:highlight w:val="none"/>
          <w:u w:val="none"/>
        </w:rPr>
        <w:t xml:space="preserve">  </w:t>
      </w:r>
      <w:r>
        <w:rPr>
          <w:rFonts w:hint="eastAsia" w:ascii="仿宋_GB2312" w:eastAsia="仿宋_GB2312" w:hAnsiTheme="minorHAnsi"/>
          <w:color w:val="auto"/>
          <w:sz w:val="28"/>
          <w:szCs w:val="28"/>
          <w:highlight w:val="none"/>
          <w:u w:val="none"/>
        </w:rPr>
        <w:t xml:space="preserve">              </w:t>
      </w:r>
      <w:r>
        <w:rPr>
          <w:rFonts w:hint="eastAsia" w:ascii="仿宋_GB2312" w:eastAsia="仿宋_GB2312" w:hAnsiTheme="minorHAnsi"/>
          <w:color w:val="auto"/>
          <w:sz w:val="28"/>
          <w:szCs w:val="28"/>
          <w:highlight w:val="none"/>
        </w:rPr>
        <w:t xml:space="preserve">               </w:t>
      </w:r>
    </w:p>
    <w:p>
      <w:pPr>
        <w:numPr>
          <w:ilvl w:val="0"/>
          <w:numId w:val="3"/>
        </w:num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响应文件的递交</w:t>
      </w:r>
    </w:p>
    <w:p>
      <w:pPr>
        <w:keepNext w:val="0"/>
        <w:keepLines w:val="0"/>
        <w:pageBreakBefore w:val="0"/>
        <w:widowControl w:val="0"/>
        <w:kinsoku/>
        <w:wordWrap/>
        <w:overflowPunct/>
        <w:topLinePunct w:val="0"/>
        <w:autoSpaceDE/>
        <w:autoSpaceDN/>
        <w:bidi w:val="0"/>
        <w:adjustRightInd w:val="0"/>
        <w:snapToGrid w:val="0"/>
        <w:spacing w:line="600" w:lineRule="exact"/>
        <w:ind w:left="0" w:firstLine="0" w:firstLineChars="0"/>
        <w:jc w:val="left"/>
        <w:textAlignment w:val="auto"/>
        <w:rPr>
          <w:rFonts w:hint="eastAsia" w:ascii="仿宋" w:hAnsi="仿宋" w:eastAsia="仿宋" w:cs="仿宋"/>
          <w:color w:val="auto"/>
          <w:sz w:val="28"/>
          <w:szCs w:val="28"/>
          <w:highlight w:val="none"/>
          <w:lang w:eastAsia="zh-CN"/>
        </w:rPr>
      </w:pP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.1递交响应文件集合时间：</w:t>
      </w:r>
      <w:r>
        <w:rPr>
          <w:rFonts w:hint="eastAsia" w:ascii="仿宋" w:hAnsi="仿宋" w:eastAsia="仿宋" w:cs="仿宋"/>
          <w:color w:val="auto"/>
          <w:sz w:val="28"/>
          <w:szCs w:val="28"/>
          <w:highlight w:val="none"/>
          <w:u w:val="single"/>
          <w:lang w:val="en-US" w:eastAsia="zh-CN"/>
        </w:rPr>
        <w:t xml:space="preserve"> 2024 </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u w:val="single"/>
          <w:lang w:val="en-US" w:eastAsia="zh-CN"/>
        </w:rPr>
        <w:t xml:space="preserve"> 11</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u w:val="single"/>
          <w:lang w:val="en-US" w:eastAsia="zh-CN"/>
        </w:rPr>
        <w:t xml:space="preserve"> 5 </w:t>
      </w:r>
      <w:r>
        <w:rPr>
          <w:rFonts w:hint="eastAsia" w:ascii="仿宋" w:hAnsi="仿宋" w:eastAsia="仿宋" w:cs="仿宋"/>
          <w:color w:val="auto"/>
          <w:sz w:val="28"/>
          <w:szCs w:val="28"/>
          <w:highlight w:val="none"/>
        </w:rPr>
        <w:t>日</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u w:val="single"/>
        </w:rPr>
        <w:t>9</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rPr>
        <w:t>时</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u w:val="single"/>
          <w:lang w:val="en-US" w:eastAsia="zh-CN"/>
        </w:rPr>
        <w:t xml:space="preserve">30 </w:t>
      </w:r>
      <w:r>
        <w:rPr>
          <w:rFonts w:hint="eastAsia" w:ascii="仿宋" w:hAnsi="仿宋" w:eastAsia="仿宋" w:cs="仿宋"/>
          <w:color w:val="auto"/>
          <w:sz w:val="28"/>
          <w:szCs w:val="28"/>
          <w:highlight w:val="none"/>
        </w:rPr>
        <w:t>分至</w:t>
      </w:r>
      <w:r>
        <w:rPr>
          <w:rFonts w:hint="eastAsia" w:ascii="仿宋" w:hAnsi="仿宋" w:eastAsia="仿宋" w:cs="仿宋"/>
          <w:color w:val="auto"/>
          <w:sz w:val="28"/>
          <w:szCs w:val="28"/>
          <w:highlight w:val="none"/>
          <w:u w:val="single"/>
          <w:lang w:val="en-US" w:eastAsia="zh-CN"/>
        </w:rPr>
        <w:t xml:space="preserve"> 2024</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 xml:space="preserve">11 </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 xml:space="preserve">5 </w:t>
      </w:r>
      <w:r>
        <w:rPr>
          <w:rFonts w:hint="eastAsia" w:ascii="仿宋" w:hAnsi="仿宋" w:eastAsia="仿宋" w:cs="仿宋"/>
          <w:color w:val="auto"/>
          <w:sz w:val="28"/>
          <w:szCs w:val="28"/>
          <w:highlight w:val="none"/>
        </w:rPr>
        <w:t>日</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u w:val="single"/>
        </w:rPr>
        <w:t>10</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rPr>
        <w:t>时</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u w:val="single"/>
        </w:rPr>
        <w:t>00</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rPr>
        <w:t>分（北京时间）</w:t>
      </w:r>
      <w:r>
        <w:rPr>
          <w:rFonts w:hint="eastAsia" w:ascii="仿宋" w:hAnsi="仿宋" w:eastAsia="仿宋" w:cs="仿宋"/>
          <w:color w:val="auto"/>
          <w:sz w:val="28"/>
          <w:szCs w:val="28"/>
          <w:highlight w:val="none"/>
          <w:lang w:eastAsia="zh-CN"/>
        </w:rPr>
        <w:t>。</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6.2</w:t>
      </w:r>
      <w:r>
        <w:rPr>
          <w:rFonts w:hint="eastAsia" w:ascii="仿宋" w:hAnsi="仿宋" w:eastAsia="仿宋" w:cs="仿宋"/>
          <w:color w:val="auto"/>
          <w:sz w:val="28"/>
          <w:szCs w:val="28"/>
          <w:highlight w:val="none"/>
        </w:rPr>
        <w:t>递交响应文件截止时间：</w:t>
      </w:r>
      <w:r>
        <w:rPr>
          <w:rFonts w:hint="eastAsia" w:ascii="仿宋" w:hAnsi="仿宋" w:eastAsia="仿宋" w:cs="仿宋"/>
          <w:color w:val="auto"/>
          <w:sz w:val="28"/>
          <w:szCs w:val="28"/>
          <w:highlight w:val="none"/>
          <w:u w:val="single"/>
          <w:lang w:val="en-US" w:eastAsia="zh-CN"/>
        </w:rPr>
        <w:t xml:space="preserve"> 2024</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 xml:space="preserve">11 </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 xml:space="preserve">5 </w:t>
      </w:r>
      <w:r>
        <w:rPr>
          <w:rFonts w:hint="eastAsia" w:ascii="仿宋" w:hAnsi="仿宋" w:eastAsia="仿宋" w:cs="仿宋"/>
          <w:color w:val="auto"/>
          <w:sz w:val="28"/>
          <w:szCs w:val="28"/>
          <w:highlight w:val="none"/>
        </w:rPr>
        <w:t>日</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u w:val="single"/>
        </w:rPr>
        <w:t>10</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rPr>
        <w:t>时</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u w:val="single"/>
        </w:rPr>
        <w:t>00</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rPr>
        <w:t>分（北京时间）</w:t>
      </w:r>
      <w:r>
        <w:rPr>
          <w:rFonts w:hint="eastAsia" w:ascii="仿宋" w:hAnsi="仿宋" w:eastAsia="仿宋" w:cs="仿宋"/>
          <w:color w:val="auto"/>
          <w:sz w:val="28"/>
          <w:szCs w:val="28"/>
          <w:highlight w:val="none"/>
          <w:lang w:eastAsia="zh-CN"/>
        </w:rPr>
        <w:t>。</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3</w:t>
      </w:r>
      <w:r>
        <w:rPr>
          <w:rFonts w:hint="eastAsia" w:ascii="仿宋" w:hAnsi="仿宋" w:eastAsia="仿宋" w:cs="仿宋"/>
          <w:color w:val="auto"/>
          <w:sz w:val="28"/>
          <w:szCs w:val="28"/>
          <w:highlight w:val="none"/>
        </w:rPr>
        <w:t>递交地址：</w:t>
      </w:r>
      <w:r>
        <w:rPr>
          <w:rFonts w:hint="eastAsia" w:ascii="仿宋" w:hAnsi="仿宋" w:eastAsia="仿宋" w:cs="仿宋"/>
          <w:color w:val="auto"/>
          <w:sz w:val="28"/>
          <w:szCs w:val="28"/>
          <w:highlight w:val="none"/>
          <w:lang w:val="en-US" w:eastAsia="zh-CN"/>
        </w:rPr>
        <w:t>广州市天河区临江大道501号</w:t>
      </w:r>
      <w:r>
        <w:rPr>
          <w:rFonts w:hint="eastAsia" w:ascii="仿宋" w:hAnsi="仿宋" w:eastAsia="仿宋" w:cs="仿宋"/>
          <w:color w:val="auto"/>
          <w:sz w:val="28"/>
          <w:szCs w:val="28"/>
          <w:highlight w:val="none"/>
          <w:u w:val="single"/>
          <w:lang w:val="en-US" w:eastAsia="zh-CN"/>
        </w:rPr>
        <w:t>广州市净水有限公司6楼招标部</w:t>
      </w:r>
      <w:r>
        <w:rPr>
          <w:rFonts w:hint="eastAsia" w:ascii="仿宋" w:hAnsi="仿宋" w:eastAsia="仿宋" w:cs="仿宋"/>
          <w:color w:val="auto"/>
          <w:sz w:val="28"/>
          <w:szCs w:val="28"/>
          <w:highlight w:val="none"/>
        </w:rPr>
        <w:t>。</w:t>
      </w:r>
    </w:p>
    <w:p>
      <w:pPr>
        <w:pStyle w:val="5"/>
        <w:rPr>
          <w:rFonts w:hint="eastAsia" w:ascii="仿宋" w:hAnsi="仿宋" w:eastAsia="仿宋" w:cs="仿宋"/>
          <w:color w:val="auto"/>
          <w:kern w:val="2"/>
          <w:sz w:val="28"/>
          <w:szCs w:val="28"/>
          <w:highlight w:val="none"/>
        </w:rPr>
      </w:pPr>
      <w:r>
        <w:rPr>
          <w:rFonts w:hint="eastAsia" w:ascii="仿宋" w:hAnsi="仿宋" w:eastAsia="仿宋" w:cs="仿宋"/>
          <w:color w:val="auto"/>
          <w:kern w:val="2"/>
          <w:sz w:val="28"/>
          <w:szCs w:val="28"/>
          <w:highlight w:val="none"/>
        </w:rPr>
        <w:t>（注：授权委托人须通过“广州净水公司”微信公众号（提前）预约，填写访客预约信息。待被访部室审核员审批通过后，凭访客手机生成的“通行访客码”通行。于门岗处测温并扫码填写调查问卷，手机显示问卷“提交成功”后方可进入。</w:t>
      </w:r>
    </w:p>
    <w:p>
      <w:pPr>
        <w:pStyle w:val="5"/>
        <w:rPr>
          <w:rFonts w:hint="eastAsia" w:ascii="仿宋" w:hAnsi="仿宋" w:eastAsia="仿宋" w:cs="仿宋"/>
          <w:color w:val="auto"/>
          <w:kern w:val="2"/>
          <w:sz w:val="28"/>
          <w:szCs w:val="28"/>
          <w:highlight w:val="none"/>
        </w:rPr>
      </w:pPr>
      <w:r>
        <w:rPr>
          <w:rFonts w:hint="eastAsia" w:ascii="仿宋" w:hAnsi="仿宋" w:eastAsia="仿宋" w:cs="仿宋"/>
          <w:color w:val="auto"/>
          <w:kern w:val="2"/>
          <w:sz w:val="28"/>
          <w:szCs w:val="28"/>
          <w:highlight w:val="none"/>
        </w:rPr>
        <w:t>响应文件递交预约信息填写：</w:t>
      </w:r>
    </w:p>
    <w:p>
      <w:pPr>
        <w:pStyle w:val="5"/>
        <w:rPr>
          <w:rFonts w:hint="eastAsia" w:ascii="仿宋" w:hAnsi="仿宋" w:eastAsia="仿宋" w:cs="仿宋"/>
          <w:color w:val="auto"/>
          <w:kern w:val="2"/>
          <w:sz w:val="28"/>
          <w:szCs w:val="28"/>
          <w:highlight w:val="none"/>
        </w:rPr>
      </w:pPr>
      <w:r>
        <w:rPr>
          <w:rFonts w:hint="eastAsia" w:ascii="仿宋" w:hAnsi="仿宋" w:eastAsia="仿宋" w:cs="仿宋"/>
          <w:color w:val="auto"/>
          <w:kern w:val="2"/>
          <w:sz w:val="28"/>
          <w:szCs w:val="28"/>
          <w:highlight w:val="none"/>
        </w:rPr>
        <w:t>（1）通过“广州净水公司”微信公众号或来访时扫码进行访客预约登记。</w:t>
      </w:r>
    </w:p>
    <w:p>
      <w:pPr>
        <w:pStyle w:val="5"/>
        <w:rPr>
          <w:rFonts w:hint="eastAsia" w:ascii="仿宋" w:hAnsi="仿宋" w:eastAsia="仿宋" w:cs="仿宋"/>
          <w:color w:val="auto"/>
          <w:kern w:val="2"/>
          <w:sz w:val="28"/>
          <w:szCs w:val="28"/>
          <w:highlight w:val="none"/>
        </w:rPr>
      </w:pPr>
      <w:r>
        <w:rPr>
          <w:rFonts w:hint="eastAsia" w:ascii="仿宋" w:hAnsi="仿宋" w:eastAsia="仿宋" w:cs="仿宋"/>
          <w:color w:val="auto"/>
          <w:kern w:val="2"/>
          <w:sz w:val="28"/>
          <w:szCs w:val="28"/>
          <w:highlight w:val="none"/>
        </w:rPr>
        <w:t>（2）“组织”选择“公司本部”，“部门”选择“招投标合同管理部”。</w:t>
      </w:r>
    </w:p>
    <w:p>
      <w:pPr>
        <w:pStyle w:val="5"/>
        <w:rPr>
          <w:rFonts w:hint="eastAsia" w:ascii="仿宋" w:hAnsi="仿宋" w:eastAsia="仿宋" w:cs="仿宋"/>
          <w:color w:val="auto"/>
          <w:kern w:val="2"/>
          <w:sz w:val="28"/>
          <w:szCs w:val="28"/>
          <w:highlight w:val="none"/>
        </w:rPr>
      </w:pPr>
      <w:r>
        <w:rPr>
          <w:rFonts w:hint="eastAsia" w:ascii="仿宋" w:hAnsi="仿宋" w:eastAsia="仿宋" w:cs="仿宋"/>
          <w:color w:val="auto"/>
          <w:kern w:val="2"/>
          <w:sz w:val="28"/>
          <w:szCs w:val="28"/>
          <w:highlight w:val="none"/>
        </w:rPr>
        <w:t>（3）“被访人员”选择“招标部”，“手机号”：“62315524”。</w:t>
      </w:r>
    </w:p>
    <w:p>
      <w:pPr>
        <w:pStyle w:val="5"/>
        <w:rPr>
          <w:rFonts w:hint="eastAsia" w:ascii="仿宋" w:hAnsi="仿宋" w:eastAsia="仿宋" w:cs="仿宋"/>
          <w:color w:val="auto"/>
          <w:kern w:val="2"/>
          <w:sz w:val="28"/>
          <w:szCs w:val="28"/>
          <w:highlight w:val="none"/>
        </w:rPr>
      </w:pPr>
      <w:r>
        <w:rPr>
          <w:rFonts w:hint="eastAsia" w:ascii="仿宋" w:hAnsi="仿宋" w:eastAsia="仿宋" w:cs="仿宋"/>
          <w:color w:val="auto"/>
          <w:kern w:val="2"/>
          <w:sz w:val="28"/>
          <w:szCs w:val="28"/>
          <w:highlight w:val="none"/>
        </w:rPr>
        <w:t>（4）“详细描述”：找XX，递交XX项目响应文件。</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7</w:t>
      </w:r>
      <w:r>
        <w:rPr>
          <w:rFonts w:hint="eastAsia" w:asciiTheme="minorEastAsia" w:hAnsiTheme="minorEastAsia"/>
          <w:b/>
          <w:color w:val="auto"/>
          <w:sz w:val="32"/>
          <w:szCs w:val="32"/>
          <w:highlight w:val="none"/>
        </w:rPr>
        <w:t>.其他</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7</w:t>
      </w:r>
      <w:r>
        <w:rPr>
          <w:rFonts w:hint="eastAsia" w:ascii="仿宋" w:hAnsi="仿宋" w:eastAsia="仿宋" w:cs="仿宋"/>
          <w:color w:val="auto"/>
          <w:sz w:val="28"/>
          <w:szCs w:val="28"/>
          <w:highlight w:val="none"/>
        </w:rPr>
        <w:t>.1发布公告的其他媒介</w:t>
      </w:r>
    </w:p>
    <w:p>
      <w:pPr>
        <w:adjustRightInd w:val="0"/>
        <w:snapToGrid w:val="0"/>
        <w:spacing w:line="600" w:lineRule="exact"/>
        <w:ind w:firstLine="555"/>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本项目</w:t>
      </w:r>
      <w:r>
        <w:rPr>
          <w:rFonts w:hint="eastAsia" w:ascii="仿宋" w:hAnsi="仿宋" w:eastAsia="仿宋" w:cs="仿宋"/>
          <w:color w:val="auto"/>
          <w:sz w:val="28"/>
          <w:szCs w:val="28"/>
          <w:highlight w:val="none"/>
          <w:lang w:eastAsia="zh-CN"/>
        </w:rPr>
        <w:t>采购公告（采购邀请书）、</w:t>
      </w:r>
      <w:r>
        <w:rPr>
          <w:rFonts w:hint="eastAsia" w:ascii="仿宋" w:hAnsi="仿宋" w:eastAsia="仿宋" w:cs="仿宋"/>
          <w:color w:val="auto"/>
          <w:sz w:val="28"/>
          <w:szCs w:val="28"/>
          <w:highlight w:val="none"/>
          <w:lang w:val="en-US" w:eastAsia="zh-CN"/>
        </w:rPr>
        <w:t>公告补充及修改</w:t>
      </w:r>
      <w:r>
        <w:rPr>
          <w:rFonts w:hint="eastAsia" w:ascii="仿宋" w:hAnsi="仿宋" w:eastAsia="仿宋" w:cs="仿宋"/>
          <w:color w:val="auto"/>
          <w:sz w:val="28"/>
          <w:szCs w:val="28"/>
          <w:highlight w:val="none"/>
        </w:rPr>
        <w:t>同</w:t>
      </w:r>
      <w:r>
        <w:rPr>
          <w:rFonts w:hint="eastAsia" w:ascii="仿宋" w:hAnsi="仿宋" w:eastAsia="仿宋" w:cs="仿宋"/>
          <w:color w:val="auto"/>
          <w:sz w:val="28"/>
          <w:szCs w:val="28"/>
          <w:highlight w:val="none"/>
          <w:lang w:val="en-US" w:eastAsia="zh-CN"/>
        </w:rPr>
        <w:t>步</w:t>
      </w:r>
      <w:r>
        <w:rPr>
          <w:rFonts w:hint="eastAsia" w:ascii="仿宋" w:hAnsi="仿宋" w:eastAsia="仿宋" w:cs="仿宋"/>
          <w:color w:val="auto"/>
          <w:sz w:val="28"/>
          <w:szCs w:val="28"/>
          <w:highlight w:val="none"/>
        </w:rPr>
        <w:t>在广州净水公司门户网</w:t>
      </w:r>
      <w:r>
        <w:rPr>
          <w:rFonts w:hint="eastAsia" w:ascii="仿宋" w:hAnsi="仿宋" w:eastAsia="仿宋" w:cs="仿宋"/>
          <w:color w:val="auto"/>
          <w:sz w:val="28"/>
          <w:szCs w:val="28"/>
          <w:highlight w:val="none"/>
          <w:lang w:val="en-US" w:eastAsia="zh-CN"/>
        </w:rPr>
        <w:t>站及阳光平台</w:t>
      </w:r>
      <w:r>
        <w:rPr>
          <w:rFonts w:hint="eastAsia" w:ascii="仿宋" w:hAnsi="仿宋" w:eastAsia="仿宋" w:cs="仿宋"/>
          <w:color w:val="auto"/>
          <w:sz w:val="28"/>
          <w:szCs w:val="28"/>
          <w:highlight w:val="none"/>
        </w:rPr>
        <w:t>上发布。本公告在各媒体发布的文本如有不同之处，以</w:t>
      </w:r>
      <w:r>
        <w:rPr>
          <w:rFonts w:hint="eastAsia" w:ascii="仿宋" w:hAnsi="仿宋" w:eastAsia="仿宋" w:cs="仿宋"/>
          <w:color w:val="auto"/>
          <w:sz w:val="28"/>
          <w:szCs w:val="28"/>
          <w:highlight w:val="none"/>
          <w:lang w:val="en-US" w:eastAsia="zh-CN"/>
        </w:rPr>
        <w:t>广州净水公司门户网站</w:t>
      </w:r>
      <w:r>
        <w:rPr>
          <w:rFonts w:hint="eastAsia" w:ascii="仿宋" w:hAnsi="仿宋" w:eastAsia="仿宋" w:cs="仿宋"/>
          <w:color w:val="auto"/>
          <w:sz w:val="28"/>
          <w:szCs w:val="28"/>
          <w:highlight w:val="none"/>
        </w:rPr>
        <w:t>为准。</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7</w:t>
      </w:r>
      <w:r>
        <w:rPr>
          <w:rFonts w:hint="eastAsia" w:ascii="仿宋" w:hAnsi="仿宋" w:eastAsia="仿宋" w:cs="仿宋"/>
          <w:color w:val="auto"/>
          <w:sz w:val="28"/>
          <w:szCs w:val="28"/>
          <w:highlight w:val="none"/>
        </w:rPr>
        <w:t>.2响应文件递交注意事项</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 xml:space="preserve">   （1）逾期送达的、未送达指定地点的响应文件，采购人将予以拒收。</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 xml:space="preserve">   （2）不按照采购文件要求密封的响应文件，采购人将予以拒收。</w:t>
      </w:r>
    </w:p>
    <w:p>
      <w:pPr>
        <w:widowControl/>
        <w:shd w:val="clear" w:color="auto" w:fill="FFFFFF"/>
        <w:adjustRightInd w:val="0"/>
        <w:snapToGrid w:val="0"/>
        <w:spacing w:line="600" w:lineRule="exac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8</w:t>
      </w:r>
      <w:r>
        <w:rPr>
          <w:rFonts w:asciiTheme="minorEastAsia" w:hAnsiTheme="minorEastAsia"/>
          <w:b/>
          <w:color w:val="auto"/>
          <w:sz w:val="32"/>
          <w:szCs w:val="32"/>
          <w:highlight w:val="none"/>
        </w:rPr>
        <w:t>.</w:t>
      </w:r>
      <w:r>
        <w:rPr>
          <w:rFonts w:hint="eastAsia" w:asciiTheme="minorEastAsia" w:hAnsiTheme="minorEastAsia"/>
          <w:b/>
          <w:color w:val="auto"/>
          <w:sz w:val="32"/>
          <w:szCs w:val="32"/>
          <w:highlight w:val="none"/>
        </w:rPr>
        <w:t>异议及投诉的受理</w:t>
      </w:r>
    </w:p>
    <w:p>
      <w:pPr>
        <w:widowControl/>
        <w:shd w:val="clear" w:color="auto" w:fill="FFFFFF"/>
        <w:adjustRightInd w:val="0"/>
        <w:snapToGrid w:val="0"/>
        <w:spacing w:line="600" w:lineRule="exact"/>
        <w:ind w:left="1" w:firstLine="618" w:firstLineChars="221"/>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潜在供应商或利害关系人对本采购公告及采购文件中任何违法及不公平内容有异议的，可以在提交响应文件截止之日</w:t>
      </w:r>
      <w:r>
        <w:rPr>
          <w:rFonts w:hint="eastAsia" w:ascii="仿宋" w:hAnsi="仿宋" w:eastAsia="仿宋" w:cs="仿宋"/>
          <w:color w:val="auto"/>
          <w:sz w:val="28"/>
          <w:szCs w:val="28"/>
          <w:highlight w:val="none"/>
          <w:u w:val="single"/>
          <w:lang w:val="en-US" w:eastAsia="zh-CN"/>
        </w:rPr>
        <w:t>2</w:t>
      </w:r>
      <w:r>
        <w:rPr>
          <w:rFonts w:hint="eastAsia" w:ascii="仿宋" w:hAnsi="仿宋" w:eastAsia="仿宋" w:cs="仿宋"/>
          <w:color w:val="auto"/>
          <w:sz w:val="28"/>
          <w:szCs w:val="28"/>
          <w:highlight w:val="none"/>
        </w:rPr>
        <w:t>个工作日前书面提出异议</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并由授权人亲自递交至净水公司</w:t>
      </w:r>
      <w:r>
        <w:rPr>
          <w:rFonts w:hint="eastAsia" w:ascii="仿宋" w:hAnsi="仿宋" w:eastAsia="仿宋" w:cs="仿宋"/>
          <w:color w:val="auto"/>
          <w:sz w:val="28"/>
          <w:szCs w:val="28"/>
          <w:highlight w:val="none"/>
        </w:rPr>
        <w:t>。如潜在响应人或其他利害关系人对采购人答复仍持有异议的，可按相关规定进行投诉。</w:t>
      </w:r>
    </w:p>
    <w:p>
      <w:pPr>
        <w:widowControl/>
        <w:shd w:val="clear" w:color="auto" w:fill="FFFFFF"/>
        <w:adjustRightInd w:val="0"/>
        <w:snapToGrid w:val="0"/>
        <w:spacing w:line="600" w:lineRule="exact"/>
        <w:ind w:left="1" w:firstLine="48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异议受理部门：</w:t>
      </w:r>
      <w:r>
        <w:rPr>
          <w:rFonts w:hint="eastAsia" w:ascii="仿宋" w:hAnsi="仿宋" w:eastAsia="仿宋" w:cs="仿宋"/>
          <w:color w:val="auto"/>
          <w:sz w:val="28"/>
          <w:szCs w:val="28"/>
          <w:highlight w:val="none"/>
          <w:u w:val="single"/>
          <w:lang w:val="en-US" w:eastAsia="zh-CN"/>
        </w:rPr>
        <w:t>广州市净水有限公司招标部</w:t>
      </w:r>
      <w:r>
        <w:rPr>
          <w:rFonts w:hint="eastAsia" w:ascii="仿宋" w:hAnsi="仿宋" w:eastAsia="仿宋" w:cs="仿宋"/>
          <w:color w:val="auto"/>
          <w:sz w:val="28"/>
          <w:szCs w:val="28"/>
          <w:highlight w:val="none"/>
        </w:rPr>
        <w:t>，电话：</w:t>
      </w:r>
      <w:r>
        <w:rPr>
          <w:rFonts w:hint="eastAsia" w:ascii="仿宋" w:hAnsi="仿宋" w:eastAsia="仿宋" w:cs="仿宋"/>
          <w:color w:val="auto"/>
          <w:sz w:val="28"/>
          <w:szCs w:val="28"/>
          <w:highlight w:val="none"/>
          <w:u w:val="single"/>
          <w:lang w:val="en-US" w:eastAsia="zh-CN"/>
        </w:rPr>
        <w:t>38890841</w:t>
      </w:r>
      <w:r>
        <w:rPr>
          <w:rFonts w:hint="eastAsia" w:ascii="仿宋" w:hAnsi="仿宋" w:eastAsia="仿宋" w:cs="仿宋"/>
          <w:color w:val="auto"/>
          <w:sz w:val="28"/>
          <w:szCs w:val="28"/>
          <w:highlight w:val="none"/>
        </w:rPr>
        <w:t>。</w:t>
      </w:r>
    </w:p>
    <w:p>
      <w:pPr>
        <w:widowControl/>
        <w:shd w:val="clear" w:color="auto" w:fill="FFFFFF"/>
        <w:adjustRightInd w:val="0"/>
        <w:snapToGrid w:val="0"/>
        <w:spacing w:line="600" w:lineRule="exact"/>
        <w:ind w:left="1" w:firstLine="480"/>
        <w:rPr>
          <w:rFonts w:ascii="仿宋_GB2312" w:hAnsi="仿宋" w:eastAsia="仿宋_GB2312"/>
          <w:color w:val="auto"/>
          <w:sz w:val="28"/>
          <w:szCs w:val="28"/>
          <w:highlight w:val="none"/>
        </w:rPr>
      </w:pPr>
      <w:r>
        <w:rPr>
          <w:rFonts w:hint="eastAsia" w:ascii="仿宋" w:hAnsi="仿宋" w:eastAsia="仿宋" w:cs="仿宋"/>
          <w:color w:val="auto"/>
          <w:sz w:val="28"/>
          <w:szCs w:val="28"/>
          <w:highlight w:val="none"/>
        </w:rPr>
        <w:t>地址：</w:t>
      </w:r>
      <w:r>
        <w:rPr>
          <w:rFonts w:hint="eastAsia" w:ascii="仿宋" w:hAnsi="仿宋" w:eastAsia="仿宋" w:cs="仿宋"/>
          <w:color w:val="auto"/>
          <w:sz w:val="28"/>
          <w:szCs w:val="28"/>
          <w:highlight w:val="none"/>
          <w:u w:val="single"/>
          <w:lang w:val="en-US" w:eastAsia="zh-CN"/>
        </w:rPr>
        <w:t>广州市天河区临江大道501号广州市净水有限公司</w:t>
      </w:r>
      <w:r>
        <w:rPr>
          <w:rFonts w:hint="eastAsia" w:ascii="仿宋" w:hAnsi="仿宋" w:eastAsia="仿宋" w:cs="仿宋"/>
          <w:color w:val="auto"/>
          <w:sz w:val="28"/>
          <w:szCs w:val="28"/>
          <w:highlight w:val="none"/>
        </w:rPr>
        <w:t xml:space="preserve"> 。</w:t>
      </w:r>
    </w:p>
    <w:p>
      <w:pPr>
        <w:adjustRightInd w:val="0"/>
        <w:snapToGrid w:val="0"/>
        <w:spacing w:beforeLines="50" w:afterLines="50"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9</w:t>
      </w:r>
      <w:r>
        <w:rPr>
          <w:rFonts w:hint="eastAsia" w:asciiTheme="minorEastAsia" w:hAnsiTheme="minorEastAsia"/>
          <w:b/>
          <w:color w:val="auto"/>
          <w:sz w:val="32"/>
          <w:szCs w:val="32"/>
          <w:highlight w:val="none"/>
        </w:rPr>
        <w:t>.联系方式</w:t>
      </w:r>
    </w:p>
    <w:tbl>
      <w:tblPr>
        <w:tblStyle w:val="2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2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采购人：</w:t>
            </w:r>
            <w:r>
              <w:rPr>
                <w:rFonts w:hint="eastAsia" w:ascii="仿宋" w:hAnsi="仿宋" w:eastAsia="仿宋" w:cs="仿宋"/>
                <w:color w:val="auto"/>
                <w:sz w:val="28"/>
                <w:szCs w:val="28"/>
                <w:highlight w:val="none"/>
                <w:lang w:val="en-US" w:eastAsia="zh-CN"/>
              </w:rPr>
              <w:t>广州市净水有限公司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rPr>
              <w:t>地  址：</w:t>
            </w:r>
            <w:r>
              <w:rPr>
                <w:rFonts w:hint="eastAsia" w:ascii="仿宋" w:hAnsi="仿宋" w:eastAsia="仿宋" w:cs="仿宋"/>
                <w:color w:val="auto"/>
                <w:sz w:val="28"/>
                <w:szCs w:val="28"/>
                <w:highlight w:val="none"/>
                <w:lang w:val="en-US" w:eastAsia="zh-CN"/>
              </w:rPr>
              <w:t>广州市天河区临江大道501号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rPr>
              <w:t>联系人：</w:t>
            </w:r>
            <w:r>
              <w:rPr>
                <w:rFonts w:hint="eastAsia" w:ascii="仿宋" w:hAnsi="仿宋" w:eastAsia="仿宋" w:cs="仿宋"/>
                <w:color w:val="auto"/>
                <w:sz w:val="28"/>
                <w:szCs w:val="28"/>
                <w:highlight w:val="none"/>
                <w:lang w:val="en-US" w:eastAsia="zh-CN"/>
              </w:rPr>
              <w:t>020-38890841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rPr>
              <w:t>电  话：</w:t>
            </w:r>
            <w:r>
              <w:rPr>
                <w:rFonts w:hint="eastAsia" w:ascii="仿宋" w:hAnsi="仿宋" w:eastAsia="仿宋" w:cs="仿宋"/>
                <w:color w:val="auto"/>
                <w:sz w:val="28"/>
                <w:szCs w:val="28"/>
                <w:highlight w:val="none"/>
                <w:lang w:val="en-US" w:eastAsia="zh-CN"/>
              </w:rPr>
              <w:t>黄工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ind w:firstLine="1960" w:firstLineChars="70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2024</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10</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30</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日</w:t>
            </w:r>
          </w:p>
        </w:tc>
      </w:tr>
    </w:tbl>
    <w:p>
      <w:pPr>
        <w:pStyle w:val="23"/>
        <w:ind w:left="0" w:leftChars="0" w:firstLine="0" w:firstLineChars="0"/>
        <w:rPr>
          <w:rFonts w:hint="eastAsia"/>
        </w:rPr>
      </w:pPr>
      <w:bookmarkStart w:id="13" w:name="_Toc2331"/>
      <w:bookmarkStart w:id="14" w:name="_Toc19295"/>
      <w:bookmarkStart w:id="15" w:name="_Toc9448"/>
      <w:bookmarkStart w:id="16" w:name="_Toc25603"/>
      <w:bookmarkStart w:id="17" w:name="_Toc2324"/>
      <w:bookmarkStart w:id="18" w:name="_Toc23749"/>
      <w:bookmarkStart w:id="19" w:name="_Toc16705"/>
      <w:bookmarkStart w:id="20" w:name="_Toc7340"/>
      <w:bookmarkStart w:id="21" w:name="_Toc32588"/>
      <w:bookmarkStart w:id="22" w:name="_Toc10891"/>
      <w:bookmarkStart w:id="23" w:name="_Toc16557"/>
    </w:p>
    <w:p>
      <w:pPr>
        <w:pStyle w:val="23"/>
        <w:rPr>
          <w:rFonts w:hint="eastAsia"/>
        </w:rPr>
      </w:pPr>
    </w:p>
    <w:p>
      <w:pPr>
        <w:pStyle w:val="23"/>
        <w:ind w:left="0" w:leftChars="0" w:firstLine="0" w:firstLineChars="0"/>
        <w:rPr>
          <w:rFonts w:hint="eastAsia"/>
        </w:rPr>
      </w:pPr>
    </w:p>
    <w:p>
      <w:pPr>
        <w:pStyle w:val="23"/>
        <w:ind w:left="0" w:leftChars="0" w:firstLine="0" w:firstLineChars="0"/>
        <w:rPr>
          <w:rFonts w:hint="eastAsia"/>
        </w:rPr>
      </w:pPr>
    </w:p>
    <w:p>
      <w:pPr>
        <w:pStyle w:val="23"/>
        <w:ind w:left="0" w:leftChars="0" w:firstLine="0" w:firstLineChars="0"/>
        <w:rPr>
          <w:rFonts w:hint="eastAsia"/>
        </w:rPr>
      </w:pPr>
    </w:p>
    <w:p>
      <w:pPr>
        <w:pStyle w:val="23"/>
        <w:ind w:left="0" w:leftChars="0" w:firstLine="0" w:firstLineChars="0"/>
        <w:rPr>
          <w:rFonts w:hint="eastAsia"/>
        </w:rPr>
      </w:pPr>
    </w:p>
    <w:p>
      <w:pPr>
        <w:pStyle w:val="23"/>
        <w:rPr>
          <w:rFonts w:hint="eastAsia"/>
        </w:rPr>
      </w:pPr>
    </w:p>
    <w:p>
      <w:pPr>
        <w:pStyle w:val="23"/>
        <w:rPr>
          <w:rFonts w:hint="eastAsia"/>
        </w:rPr>
      </w:pPr>
    </w:p>
    <w:p>
      <w:pPr>
        <w:pStyle w:val="2"/>
        <w:jc w:val="both"/>
        <w:rPr>
          <w:rFonts w:hint="eastAsia"/>
          <w:color w:val="auto"/>
          <w:highlight w:val="none"/>
        </w:rPr>
      </w:pPr>
    </w:p>
    <w:p>
      <w:pPr>
        <w:pStyle w:val="2"/>
        <w:rPr>
          <w:rFonts w:hint="eastAsia"/>
          <w:color w:val="auto"/>
          <w:highlight w:val="none"/>
        </w:rPr>
      </w:pPr>
    </w:p>
    <w:p>
      <w:pPr>
        <w:pStyle w:val="2"/>
        <w:rPr>
          <w:color w:val="auto"/>
          <w:highlight w:val="none"/>
        </w:rPr>
      </w:pPr>
      <w:r>
        <w:rPr>
          <w:color w:val="auto"/>
          <w:highlight w:val="none"/>
        </w:rPr>
        <mc:AlternateContent>
          <mc:Choice Requires="wps">
            <w:drawing>
              <wp:anchor distT="0" distB="0" distL="114300" distR="114300" simplePos="0" relativeHeight="251669504" behindDoc="0" locked="0" layoutInCell="1" allowOverlap="1">
                <wp:simplePos x="0" y="0"/>
                <wp:positionH relativeFrom="column">
                  <wp:posOffset>2348230</wp:posOffset>
                </wp:positionH>
                <wp:positionV relativeFrom="paragraph">
                  <wp:posOffset>22225</wp:posOffset>
                </wp:positionV>
                <wp:extent cx="958850" cy="0"/>
                <wp:effectExtent l="0" t="0" r="0" b="0"/>
                <wp:wrapNone/>
                <wp:docPr id="13" name="自选图形 19"/>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9" o:spid="_x0000_s1026" o:spt="32" type="#_x0000_t32" style="position:absolute;left:0pt;margin-left:184.9pt;margin-top:1.75pt;height:0pt;width:75.5pt;z-index:251669504;mso-width-relative:page;mso-height-relative:page;" filled="f" stroked="t" coordsize="21600,21600" o:gfxdata="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MKphTdQAAAAHAQAADwAAAAAAAAABACAAAAAiAAAAZHJzL2Rvd25yZXYueG1sUEsBAhQAFAAA&#10;AAgAh07iQPZi7erzAQAA5AMAAA4AAAAAAAAAAQAgAAAAIwEAAGRycy9lMm9Eb2MueG1sUEsFBgAA&#10;AAAGAAYAWQEAAIgFA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70528" behindDoc="0" locked="0" layoutInCell="1" allowOverlap="1">
                <wp:simplePos x="0" y="0"/>
                <wp:positionH relativeFrom="column">
                  <wp:posOffset>2326640</wp:posOffset>
                </wp:positionH>
                <wp:positionV relativeFrom="paragraph">
                  <wp:posOffset>544830</wp:posOffset>
                </wp:positionV>
                <wp:extent cx="958850" cy="0"/>
                <wp:effectExtent l="0" t="0" r="0" b="0"/>
                <wp:wrapNone/>
                <wp:docPr id="14" name="自选图形 18"/>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8" o:spid="_x0000_s1026" o:spt="32" type="#_x0000_t32" style="position:absolute;left:0pt;margin-left:183.2pt;margin-top:42.9pt;height:0pt;width:75.5pt;z-index:251670528;mso-width-relative:page;mso-height-relative:page;" filled="f" stroked="t" coordsize="21600,21600" o:gfxdata="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MV6Bz1gAAAAkBAAAPAAAAAAAAAAEAIAAAACIAAABkcnMvZG93bnJldi54bWxQSwECFAAU&#10;AAAACACHTuJAl6dV2vMBAADkAwAADgAAAAAAAAABACAAAAAlAQAAZHJzL2Uyb0RvYy54bWxQSwUG&#10;AAAAAAYABgBZAQAAigUAAAAA&#10;">
                <v:fill on="f" focussize="0,0"/>
                <v:stroke color="#000000" joinstyle="round"/>
                <v:imagedata o:title=""/>
                <o:lock v:ext="edit" aspectratio="f"/>
              </v:shape>
            </w:pict>
          </mc:Fallback>
        </mc:AlternateContent>
      </w:r>
      <w:r>
        <w:rPr>
          <w:rFonts w:hint="eastAsia"/>
          <w:color w:val="auto"/>
          <w:highlight w:val="none"/>
        </w:rPr>
        <w:t>第</w:t>
      </w:r>
      <w:r>
        <w:rPr>
          <w:rFonts w:hint="eastAsia"/>
          <w:color w:val="auto"/>
          <w:highlight w:val="none"/>
          <w:lang w:val="en-US" w:eastAsia="zh-CN"/>
        </w:rPr>
        <w:t>二</w:t>
      </w:r>
      <w:r>
        <w:rPr>
          <w:rFonts w:hint="eastAsia"/>
          <w:color w:val="auto"/>
          <w:highlight w:val="none"/>
        </w:rPr>
        <w:t>章</w:t>
      </w:r>
      <w:bookmarkEnd w:id="13"/>
      <w:bookmarkEnd w:id="14"/>
      <w:bookmarkEnd w:id="15"/>
      <w:bookmarkEnd w:id="16"/>
      <w:bookmarkEnd w:id="17"/>
      <w:bookmarkEnd w:id="18"/>
      <w:bookmarkEnd w:id="19"/>
      <w:bookmarkEnd w:id="20"/>
      <w:bookmarkEnd w:id="21"/>
      <w:bookmarkEnd w:id="22"/>
      <w:bookmarkEnd w:id="23"/>
    </w:p>
    <w:p>
      <w:pPr>
        <w:pStyle w:val="3"/>
        <w:rPr>
          <w:rFonts w:hint="eastAsia" w:asciiTheme="majorEastAsia" w:hAnsiTheme="majorEastAsia" w:eastAsiaTheme="majorEastAsia" w:cstheme="majorEastAsia"/>
          <w:color w:val="auto"/>
          <w:highlight w:val="none"/>
        </w:rPr>
      </w:pPr>
    </w:p>
    <w:p>
      <w:pPr>
        <w:pStyle w:val="3"/>
        <w:rPr>
          <w:rFonts w:hint="eastAsia"/>
          <w:color w:val="auto"/>
          <w:highlight w:val="none"/>
        </w:rPr>
      </w:pPr>
      <w:bookmarkStart w:id="24" w:name="_Toc3416"/>
      <w:bookmarkStart w:id="25" w:name="_Toc2339"/>
      <w:r>
        <w:rPr>
          <w:rFonts w:hint="eastAsia"/>
          <w:color w:val="auto"/>
          <w:highlight w:val="none"/>
        </w:rPr>
        <w:t>供应商须知</w:t>
      </w:r>
      <w:bookmarkEnd w:id="24"/>
      <w:bookmarkEnd w:id="25"/>
    </w:p>
    <w:p>
      <w:pPr>
        <w:adjustRightInd w:val="0"/>
        <w:snapToGrid w:val="0"/>
        <w:spacing w:beforeLines="50" w:afterLines="50" w:line="600" w:lineRule="exact"/>
        <w:ind w:left="643" w:hanging="643" w:hangingChars="200"/>
        <w:jc w:val="left"/>
        <w:rPr>
          <w:rFonts w:hint="eastAsia" w:asciiTheme="majorEastAsia" w:hAnsiTheme="majorEastAsia" w:eastAsiaTheme="majorEastAsia" w:cstheme="majorEastAsia"/>
          <w:b/>
          <w:color w:val="auto"/>
          <w:sz w:val="32"/>
          <w:szCs w:val="32"/>
          <w:highlight w:val="none"/>
        </w:rPr>
      </w:pPr>
    </w:p>
    <w:p>
      <w:pPr>
        <w:adjustRightInd w:val="0"/>
        <w:snapToGrid w:val="0"/>
        <w:spacing w:beforeLines="50" w:afterLines="50" w:line="600" w:lineRule="exact"/>
        <w:ind w:left="643" w:hanging="643" w:hangingChars="200"/>
        <w:jc w:val="left"/>
        <w:rPr>
          <w:rFonts w:hint="eastAsia" w:asciiTheme="majorEastAsia" w:hAnsiTheme="majorEastAsia" w:eastAsiaTheme="majorEastAsia" w:cstheme="majorEastAsia"/>
          <w:b/>
          <w:color w:val="auto"/>
          <w:sz w:val="32"/>
          <w:szCs w:val="32"/>
          <w:highlight w:val="none"/>
        </w:rPr>
      </w:pPr>
    </w:p>
    <w:p>
      <w:pPr>
        <w:adjustRightInd w:val="0"/>
        <w:snapToGrid w:val="0"/>
        <w:spacing w:beforeLines="50" w:afterLines="50" w:line="600" w:lineRule="exact"/>
        <w:ind w:left="643" w:hanging="643" w:hangingChars="200"/>
        <w:jc w:val="left"/>
        <w:rPr>
          <w:rFonts w:hint="eastAsia" w:asciiTheme="majorEastAsia" w:hAnsiTheme="majorEastAsia" w:eastAsiaTheme="majorEastAsia" w:cstheme="majorEastAsia"/>
          <w:b/>
          <w:color w:val="auto"/>
          <w:sz w:val="32"/>
          <w:szCs w:val="32"/>
          <w:highlight w:val="none"/>
        </w:rPr>
      </w:pPr>
    </w:p>
    <w:p>
      <w:pPr>
        <w:adjustRightInd w:val="0"/>
        <w:snapToGrid w:val="0"/>
        <w:spacing w:beforeLines="50" w:afterLines="50" w:line="600" w:lineRule="exact"/>
        <w:ind w:left="643" w:hanging="643" w:hangingChars="200"/>
        <w:jc w:val="left"/>
        <w:rPr>
          <w:rFonts w:hint="eastAsia" w:asciiTheme="majorEastAsia" w:hAnsiTheme="majorEastAsia" w:eastAsiaTheme="majorEastAsia" w:cstheme="majorEastAsia"/>
          <w:b/>
          <w:color w:val="auto"/>
          <w:sz w:val="32"/>
          <w:szCs w:val="32"/>
          <w:highlight w:val="none"/>
        </w:rPr>
      </w:pPr>
    </w:p>
    <w:p>
      <w:pPr>
        <w:pStyle w:val="23"/>
        <w:rPr>
          <w:rFonts w:hint="eastAsia" w:asciiTheme="minorEastAsia" w:hAnsiTheme="minorEastAsia"/>
          <w:b/>
          <w:color w:val="auto"/>
          <w:sz w:val="32"/>
          <w:szCs w:val="32"/>
          <w:highlight w:val="none"/>
        </w:rPr>
      </w:pPr>
    </w:p>
    <w:p>
      <w:pPr>
        <w:pStyle w:val="23"/>
        <w:rPr>
          <w:rFonts w:hint="eastAsia" w:asciiTheme="minorEastAsia" w:hAnsiTheme="minorEastAsia"/>
          <w:b/>
          <w:color w:val="auto"/>
          <w:sz w:val="32"/>
          <w:szCs w:val="32"/>
          <w:highlight w:val="none"/>
        </w:rPr>
      </w:pPr>
    </w:p>
    <w:p>
      <w:pPr>
        <w:pStyle w:val="23"/>
        <w:rPr>
          <w:rFonts w:hint="eastAsia" w:asciiTheme="minorEastAsia" w:hAnsiTheme="minorEastAsia"/>
          <w:b/>
          <w:color w:val="auto"/>
          <w:sz w:val="32"/>
          <w:szCs w:val="32"/>
          <w:highlight w:val="none"/>
        </w:rPr>
      </w:pPr>
    </w:p>
    <w:p>
      <w:pPr>
        <w:pStyle w:val="23"/>
        <w:rPr>
          <w:rFonts w:hint="eastAsia" w:asciiTheme="minorEastAsia" w:hAnsiTheme="minorEastAsia"/>
          <w:b/>
          <w:color w:val="auto"/>
          <w:sz w:val="32"/>
          <w:szCs w:val="32"/>
          <w:highlight w:val="none"/>
        </w:rPr>
      </w:pPr>
    </w:p>
    <w:p>
      <w:pPr>
        <w:pStyle w:val="23"/>
        <w:rPr>
          <w:rFonts w:hint="eastAsia" w:asciiTheme="minorEastAsia" w:hAnsiTheme="minorEastAsia"/>
          <w:b/>
          <w:color w:val="auto"/>
          <w:sz w:val="32"/>
          <w:szCs w:val="32"/>
          <w:highlight w:val="none"/>
        </w:rPr>
      </w:pPr>
    </w:p>
    <w:p>
      <w:pPr>
        <w:pStyle w:val="23"/>
        <w:rPr>
          <w:rFonts w:hint="eastAsia" w:asciiTheme="minorEastAsia" w:hAnsiTheme="minorEastAsia"/>
          <w:b/>
          <w:color w:val="auto"/>
          <w:sz w:val="32"/>
          <w:szCs w:val="32"/>
          <w:highlight w:val="none"/>
        </w:rPr>
      </w:pPr>
    </w:p>
    <w:p>
      <w:pPr>
        <w:pStyle w:val="23"/>
        <w:rPr>
          <w:rFonts w:hint="eastAsia" w:asciiTheme="minorEastAsia" w:hAnsiTheme="minorEastAsia"/>
          <w:b/>
          <w:color w:val="auto"/>
          <w:sz w:val="32"/>
          <w:szCs w:val="32"/>
          <w:highlight w:val="none"/>
        </w:rPr>
      </w:pPr>
    </w:p>
    <w:p>
      <w:pPr>
        <w:numPr>
          <w:ilvl w:val="0"/>
          <w:numId w:val="4"/>
        </w:numPr>
        <w:adjustRightInd w:val="0"/>
        <w:snapToGrid w:val="0"/>
        <w:spacing w:beforeLines="50" w:afterLines="50" w:line="500" w:lineRule="exact"/>
        <w:ind w:left="643" w:hanging="643" w:hangingChars="200"/>
        <w:jc w:val="left"/>
        <w:rPr>
          <w:rFonts w:hint="eastAsia" w:asciiTheme="minorEastAsia" w:hAnsiTheme="minorEastAsia"/>
          <w:b/>
          <w:color w:val="auto"/>
          <w:sz w:val="32"/>
          <w:szCs w:val="32"/>
          <w:highlight w:val="none"/>
        </w:rPr>
      </w:pPr>
      <w:r>
        <w:rPr>
          <w:rFonts w:hint="eastAsia" w:asciiTheme="minorEastAsia" w:hAnsiTheme="minorEastAsia"/>
          <w:b/>
          <w:color w:val="auto"/>
          <w:sz w:val="32"/>
          <w:szCs w:val="32"/>
          <w:highlight w:val="none"/>
        </w:rPr>
        <w:t>对供应商的资格要求</w:t>
      </w:r>
      <w:r>
        <w:rPr>
          <w:rFonts w:hint="eastAsia" w:asciiTheme="minorEastAsia" w:hAnsiTheme="minorEastAsia"/>
          <w:b/>
          <w:color w:val="auto"/>
          <w:sz w:val="32"/>
          <w:szCs w:val="32"/>
          <w:highlight w:val="none"/>
          <w:lang w:val="en-US" w:eastAsia="zh-CN"/>
        </w:rPr>
        <w:t>.</w:t>
      </w:r>
    </w:p>
    <w:p>
      <w:pPr>
        <w:pStyle w:val="23"/>
        <w:numPr>
          <w:ilvl w:val="-1"/>
          <w:numId w:val="0"/>
        </w:numPr>
        <w:ind w:firstLine="0"/>
        <w:rPr>
          <w:rFonts w:hint="eastAsia" w:ascii="仿宋" w:hAnsi="仿宋" w:eastAsia="仿宋" w:cs="仿宋"/>
          <w:color w:val="auto"/>
          <w:highlight w:val="none"/>
          <w:lang w:val="en-US" w:eastAsia="zh-CN"/>
        </w:rPr>
      </w:pPr>
      <w:r>
        <w:rPr>
          <w:rFonts w:hint="eastAsia" w:ascii="仿宋" w:hAnsi="仿宋" w:eastAsia="仿宋" w:cs="仿宋"/>
          <w:color w:val="auto"/>
          <w:highlight w:val="none"/>
          <w:lang w:val="en-US" w:eastAsia="zh-CN"/>
        </w:rPr>
        <w:t>详见第一章采购公告（采购邀请书）3.供应商资格要求</w:t>
      </w:r>
    </w:p>
    <w:p>
      <w:pPr>
        <w:adjustRightInd w:val="0"/>
        <w:snapToGrid w:val="0"/>
        <w:spacing w:line="600" w:lineRule="exact"/>
        <w:jc w:val="left"/>
        <w:rPr>
          <w:rFonts w:hint="default" w:ascii="仿宋_GB2312" w:eastAsia="仿宋_GB2312"/>
          <w:color w:val="auto"/>
          <w:sz w:val="28"/>
          <w:szCs w:val="28"/>
          <w:highlight w:val="none"/>
          <w:lang w:val="en-US" w:eastAsia="zh-CN"/>
        </w:rPr>
      </w:pPr>
      <w:r>
        <w:rPr>
          <w:rFonts w:hint="eastAsia" w:asciiTheme="minorEastAsia" w:hAnsiTheme="minorEastAsia"/>
          <w:b/>
          <w:color w:val="auto"/>
          <w:sz w:val="32"/>
          <w:szCs w:val="32"/>
          <w:highlight w:val="none"/>
          <w:lang w:val="en-US" w:eastAsia="zh-CN"/>
        </w:rPr>
        <w:t xml:space="preserve">2.  </w:t>
      </w:r>
      <w:r>
        <w:rPr>
          <w:rFonts w:hint="eastAsia" w:asciiTheme="minorEastAsia" w:hAnsiTheme="minorEastAsia"/>
          <w:b/>
          <w:color w:val="auto"/>
          <w:sz w:val="32"/>
          <w:szCs w:val="32"/>
          <w:highlight w:val="none"/>
        </w:rPr>
        <w:t>本次交易一般规则.</w:t>
      </w:r>
      <w:r>
        <w:rPr>
          <w:rFonts w:ascii="仿宋_GB2312" w:eastAsia="仿宋_GB2312"/>
          <w:color w:val="auto"/>
          <w:sz w:val="28"/>
          <w:szCs w:val="28"/>
          <w:highlight w:val="none"/>
        </w:rPr>
        <w:t>表</w:t>
      </w:r>
      <w:r>
        <w:rPr>
          <w:rFonts w:hint="eastAsia" w:ascii="仿宋_GB2312" w:eastAsia="仿宋_GB2312"/>
          <w:color w:val="auto"/>
          <w:sz w:val="28"/>
          <w:szCs w:val="28"/>
          <w:highlight w:val="none"/>
          <w:lang w:val="en-US" w:eastAsia="zh-CN"/>
        </w:rPr>
        <w:t>1.1</w:t>
      </w:r>
    </w:p>
    <w:tbl>
      <w:tblPr>
        <w:tblStyle w:val="25"/>
        <w:tblW w:w="91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5"/>
        <w:gridCol w:w="936"/>
        <w:gridCol w:w="1263"/>
        <w:gridCol w:w="59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7" w:hRule="atLeast"/>
          <w:tblHeader/>
        </w:trPr>
        <w:tc>
          <w:tcPr>
            <w:tcW w:w="925" w:type="dxa"/>
            <w:tcBorders>
              <w:left w:val="nil"/>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阶段</w:t>
            </w:r>
          </w:p>
        </w:tc>
        <w:tc>
          <w:tcPr>
            <w:tcW w:w="936"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条款</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项目</w:t>
            </w:r>
          </w:p>
        </w:tc>
        <w:tc>
          <w:tcPr>
            <w:tcW w:w="5979" w:type="dxa"/>
            <w:tcBorders>
              <w:right w:val="nil"/>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4" w:hRule="atLeast"/>
        </w:trPr>
        <w:tc>
          <w:tcPr>
            <w:tcW w:w="925" w:type="dxa"/>
            <w:vMerge w:val="restart"/>
            <w:tcBorders>
              <w:left w:val="nil"/>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准备</w:t>
            </w:r>
          </w:p>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及其</w:t>
            </w:r>
          </w:p>
          <w:p>
            <w:pPr>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w:t>
            </w:r>
          </w:p>
        </w:tc>
        <w:tc>
          <w:tcPr>
            <w:tcW w:w="936"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采购文件组成</w:t>
            </w:r>
          </w:p>
        </w:tc>
        <w:tc>
          <w:tcPr>
            <w:tcW w:w="5979" w:type="dxa"/>
            <w:tcBorders>
              <w:right w:val="nil"/>
            </w:tcBorders>
            <w:vAlign w:val="center"/>
          </w:tcPr>
          <w:p>
            <w:pPr>
              <w:adjustRightInd w:val="0"/>
              <w:snapToGrid w:val="0"/>
              <w:jc w:val="left"/>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rPr>
              <w:t>（1）</w:t>
            </w:r>
            <w:r>
              <w:rPr>
                <w:rFonts w:hint="eastAsia" w:ascii="仿宋" w:hAnsi="仿宋" w:eastAsia="仿宋" w:cs="仿宋"/>
                <w:color w:val="auto"/>
                <w:sz w:val="24"/>
                <w:szCs w:val="24"/>
                <w:highlight w:val="none"/>
                <w:lang w:val="en-US" w:eastAsia="zh-CN"/>
              </w:rPr>
              <w:t>采购公告（采购邀请书）</w:t>
            </w:r>
          </w:p>
          <w:p>
            <w:pPr>
              <w:adjustRightInd w:val="0"/>
              <w:snapToGrid w:val="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（2）供应商须知</w:t>
            </w:r>
          </w:p>
          <w:p>
            <w:pPr>
              <w:adjustRightInd w:val="0"/>
              <w:snapToGrid w:val="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（3）采购方式</w:t>
            </w:r>
          </w:p>
          <w:p>
            <w:pPr>
              <w:adjustRightInd w:val="0"/>
              <w:snapToGrid w:val="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（4）评审办法</w:t>
            </w:r>
          </w:p>
          <w:p>
            <w:pPr>
              <w:adjustRightInd w:val="0"/>
              <w:snapToGrid w:val="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（5）采购需求</w:t>
            </w:r>
          </w:p>
          <w:p>
            <w:pPr>
              <w:adjustRightInd w:val="0"/>
              <w:snapToGrid w:val="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（6）合同草案</w:t>
            </w:r>
          </w:p>
          <w:p>
            <w:pPr>
              <w:adjustRightInd w:val="0"/>
              <w:snapToGrid w:val="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（7）响应文件</w:t>
            </w:r>
          </w:p>
          <w:p>
            <w:pPr>
              <w:adjustRightInd w:val="0"/>
              <w:snapToGrid w:val="0"/>
              <w:jc w:val="left"/>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rPr>
              <w:t>（8）在采购过程中由采购单位发出的修正和补充文件等</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lang w:val="en-US" w:eastAsia="zh-CN"/>
              </w:rPr>
              <w:t>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2" w:hRule="atLeast"/>
        </w:trPr>
        <w:tc>
          <w:tcPr>
            <w:tcW w:w="925" w:type="dxa"/>
            <w:vMerge w:val="continue"/>
            <w:tcBorders>
              <w:left w:val="nil"/>
            </w:tcBorders>
            <w:vAlign w:val="center"/>
          </w:tcPr>
          <w:p>
            <w:pPr>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.2</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采购文件的澄清和修改</w:t>
            </w:r>
          </w:p>
        </w:tc>
        <w:tc>
          <w:tcPr>
            <w:tcW w:w="5979" w:type="dxa"/>
            <w:tcBorders>
              <w:right w:val="nil"/>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1</w:t>
            </w:r>
            <w:r>
              <w:rPr>
                <w:rFonts w:hint="eastAsia" w:ascii="仿宋" w:hAnsi="仿宋" w:eastAsia="仿宋" w:cs="仿宋"/>
                <w:color w:val="auto"/>
                <w:sz w:val="24"/>
                <w:szCs w:val="24"/>
                <w:highlight w:val="none"/>
              </w:rPr>
              <w:t>.2.1供应商对采购文件有疑问的，应当在提交响应文件截止之日</w:t>
            </w:r>
            <w:r>
              <w:rPr>
                <w:rFonts w:hint="eastAsia" w:ascii="仿宋" w:hAnsi="仿宋" w:eastAsia="仿宋" w:cs="仿宋"/>
                <w:color w:val="auto"/>
                <w:sz w:val="24"/>
                <w:szCs w:val="24"/>
                <w:highlight w:val="none"/>
                <w:u w:val="single"/>
                <w:lang w:val="en-US" w:eastAsia="zh-CN"/>
              </w:rPr>
              <w:t>2</w:t>
            </w:r>
            <w:r>
              <w:rPr>
                <w:rFonts w:hint="eastAsia" w:ascii="仿宋" w:hAnsi="仿宋" w:eastAsia="仿宋" w:cs="仿宋"/>
                <w:color w:val="auto"/>
                <w:sz w:val="24"/>
                <w:szCs w:val="24"/>
                <w:highlight w:val="none"/>
              </w:rPr>
              <w:t>个工作日前，以书面形式提出。</w:t>
            </w:r>
          </w:p>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1</w:t>
            </w:r>
            <w:r>
              <w:rPr>
                <w:rFonts w:hint="eastAsia" w:ascii="仿宋" w:hAnsi="仿宋" w:eastAsia="仿宋" w:cs="仿宋"/>
                <w:color w:val="auto"/>
                <w:sz w:val="24"/>
                <w:szCs w:val="24"/>
                <w:highlight w:val="none"/>
              </w:rPr>
              <w:t>.2.2采购人可根据供应商的要求或主动对采购文件进行澄清和修改。澄清或修改的内容以补充文件形式发布，采购人可视具体情况在补充文件中通知供应商推迟递交响应文件的截止时间。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25" w:type="dxa"/>
            <w:vMerge w:val="continue"/>
            <w:tcBorders>
              <w:left w:val="nil"/>
            </w:tcBorders>
            <w:vAlign w:val="center"/>
          </w:tcPr>
          <w:p>
            <w:pPr>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.3</w:t>
            </w:r>
          </w:p>
          <w:p>
            <w:pPr>
              <w:adjustRightInd w:val="0"/>
              <w:snapToGrid w:val="0"/>
              <w:jc w:val="center"/>
              <w:rPr>
                <w:rFonts w:hint="eastAsia" w:ascii="仿宋" w:hAnsi="仿宋" w:eastAsia="仿宋" w:cs="仿宋"/>
                <w:color w:val="auto"/>
                <w:sz w:val="24"/>
                <w:szCs w:val="24"/>
                <w:highlight w:val="none"/>
              </w:rPr>
            </w:pPr>
          </w:p>
        </w:tc>
        <w:tc>
          <w:tcPr>
            <w:tcW w:w="1263" w:type="dxa"/>
            <w:vAlign w:val="center"/>
          </w:tcPr>
          <w:p>
            <w:pPr>
              <w:adjustRightInd w:val="0"/>
              <w:snapToGrid w:val="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踏勘现场</w:t>
            </w:r>
          </w:p>
        </w:tc>
        <w:tc>
          <w:tcPr>
            <w:tcW w:w="5979" w:type="dxa"/>
            <w:tcBorders>
              <w:right w:val="nil"/>
            </w:tcBorders>
            <w:vAlign w:val="center"/>
          </w:tcPr>
          <w:p>
            <w:pPr>
              <w:adjustRightInd w:val="0"/>
              <w:snapToGrid w:val="0"/>
              <w:ind w:left="0" w:leftChars="0" w:firstLine="0" w:firstLineChars="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详见采购公告（采购邀请书）5.踏勘现场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25" w:type="dxa"/>
            <w:vMerge w:val="continue"/>
            <w:tcBorders>
              <w:left w:val="nil"/>
            </w:tcBorders>
            <w:vAlign w:val="center"/>
          </w:tcPr>
          <w:p>
            <w:pPr>
              <w:jc w:val="center"/>
              <w:rPr>
                <w:rFonts w:hint="eastAsia" w:ascii="仿宋" w:hAnsi="仿宋" w:eastAsia="仿宋" w:cs="仿宋"/>
                <w:b/>
                <w:bCs/>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2.4</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分包</w:t>
            </w:r>
          </w:p>
        </w:tc>
        <w:tc>
          <w:tcPr>
            <w:tcW w:w="5979" w:type="dxa"/>
            <w:tcBorders>
              <w:right w:val="nil"/>
            </w:tcBorders>
            <w:vAlign w:val="center"/>
          </w:tcPr>
          <w:p>
            <w:pPr>
              <w:adjustRightInd w:val="0"/>
              <w:snapToGrid w:val="0"/>
              <w:ind w:firstLine="0" w:firstLineChars="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本项目</w:t>
            </w:r>
            <w:r>
              <w:rPr>
                <w:rFonts w:hint="eastAsia" w:ascii="仿宋" w:hAnsi="仿宋" w:eastAsia="仿宋" w:cs="仿宋"/>
                <w:color w:val="auto"/>
                <w:sz w:val="24"/>
                <w:szCs w:val="24"/>
                <w:highlight w:val="none"/>
              </w:rPr>
              <w:t>不允许</w:t>
            </w:r>
            <w:r>
              <w:rPr>
                <w:rFonts w:hint="eastAsia" w:ascii="仿宋" w:hAnsi="仿宋" w:eastAsia="仿宋" w:cs="仿宋"/>
                <w:color w:val="auto"/>
                <w:sz w:val="24"/>
                <w:szCs w:val="24"/>
                <w:highlight w:val="none"/>
                <w:lang w:val="en-US" w:eastAsia="zh-CN"/>
              </w:rPr>
              <w:t>分包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925" w:type="dxa"/>
            <w:vMerge w:val="continue"/>
            <w:tcBorders>
              <w:left w:val="nil"/>
            </w:tcBorders>
            <w:vAlign w:val="center"/>
          </w:tcPr>
          <w:p>
            <w:pPr>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.5</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响应截止时间</w:t>
            </w:r>
          </w:p>
        </w:tc>
        <w:tc>
          <w:tcPr>
            <w:tcW w:w="5979" w:type="dxa"/>
            <w:tcBorders>
              <w:right w:val="nil"/>
            </w:tcBorders>
            <w:vAlign w:val="center"/>
          </w:tcPr>
          <w:p>
            <w:pPr>
              <w:adjustRightInd w:val="0"/>
              <w:snapToGrid w:val="0"/>
              <w:jc w:val="left"/>
              <w:rPr>
                <w:rFonts w:hint="eastAsia" w:ascii="仿宋" w:hAnsi="仿宋" w:eastAsia="仿宋" w:cs="仿宋"/>
                <w:color w:val="auto"/>
                <w:sz w:val="24"/>
                <w:szCs w:val="24"/>
                <w:highlight w:val="none"/>
                <w:u w:val="none"/>
                <w:lang w:eastAsia="zh-CN"/>
              </w:rPr>
            </w:pPr>
            <w:r>
              <w:rPr>
                <w:rFonts w:hint="eastAsia" w:ascii="仿宋" w:hAnsi="仿宋" w:eastAsia="仿宋" w:cs="仿宋"/>
                <w:color w:val="auto"/>
                <w:sz w:val="24"/>
                <w:szCs w:val="24"/>
                <w:highlight w:val="none"/>
                <w:lang w:val="en-US" w:eastAsia="zh-CN"/>
              </w:rPr>
              <w:t>详</w:t>
            </w:r>
            <w:r>
              <w:rPr>
                <w:rFonts w:hint="eastAsia" w:ascii="仿宋" w:hAnsi="仿宋" w:eastAsia="仿宋" w:cs="仿宋"/>
                <w:color w:val="auto"/>
                <w:sz w:val="24"/>
                <w:szCs w:val="24"/>
                <w:highlight w:val="none"/>
              </w:rPr>
              <w:t>见采购</w:t>
            </w:r>
            <w:r>
              <w:rPr>
                <w:rFonts w:hint="eastAsia" w:ascii="仿宋" w:hAnsi="仿宋" w:eastAsia="仿宋" w:cs="仿宋"/>
                <w:color w:val="auto"/>
                <w:sz w:val="24"/>
                <w:szCs w:val="24"/>
                <w:highlight w:val="none"/>
                <w:lang w:val="en-US" w:eastAsia="zh-CN"/>
              </w:rPr>
              <w:t>公告（采购邀请书）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925" w:type="dxa"/>
            <w:vMerge w:val="restart"/>
            <w:tcBorders>
              <w:left w:val="nil"/>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准备</w:t>
            </w:r>
          </w:p>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及其</w:t>
            </w:r>
          </w:p>
          <w:p>
            <w:pPr>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w:t>
            </w: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.6</w:t>
            </w:r>
          </w:p>
        </w:tc>
        <w:tc>
          <w:tcPr>
            <w:tcW w:w="1263" w:type="dxa"/>
            <w:vAlign w:val="center"/>
          </w:tcPr>
          <w:p>
            <w:pPr>
              <w:adjustRightInd w:val="0"/>
              <w:snapToGrid w:val="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rPr>
              <w:t>最高限价</w:t>
            </w:r>
            <w:r>
              <w:rPr>
                <w:rFonts w:hint="eastAsia" w:ascii="仿宋" w:hAnsi="仿宋" w:eastAsia="仿宋" w:cs="仿宋"/>
                <w:color w:val="auto"/>
                <w:sz w:val="24"/>
                <w:szCs w:val="24"/>
                <w:highlight w:val="none"/>
                <w:lang w:val="en-US" w:eastAsia="zh-CN"/>
              </w:rPr>
              <w:t>及低价说明</w:t>
            </w:r>
          </w:p>
        </w:tc>
        <w:tc>
          <w:tcPr>
            <w:tcW w:w="5979" w:type="dxa"/>
            <w:tcBorders>
              <w:right w:val="nil"/>
            </w:tcBorders>
            <w:vAlign w:val="center"/>
          </w:tcPr>
          <w:p>
            <w:pPr>
              <w:adjustRightInd w:val="0"/>
              <w:snapToGrid w:val="0"/>
              <w:ind w:firstLine="0" w:firstLineChars="0"/>
              <w:jc w:val="left"/>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详见采购公告（采购邀请书）；若报价低于本项目最高限价的60%，必须说明报价理由。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925" w:type="dxa"/>
            <w:vMerge w:val="continue"/>
            <w:tcBorders>
              <w:left w:val="nil"/>
            </w:tcBorders>
            <w:vAlign w:val="center"/>
          </w:tcPr>
          <w:p>
            <w:pPr>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.7</w:t>
            </w:r>
          </w:p>
          <w:p>
            <w:pPr>
              <w:adjustRightInd w:val="0"/>
              <w:snapToGrid w:val="0"/>
              <w:jc w:val="center"/>
              <w:rPr>
                <w:rFonts w:hint="eastAsia" w:ascii="仿宋" w:hAnsi="仿宋" w:eastAsia="仿宋" w:cs="仿宋"/>
                <w:color w:val="auto"/>
                <w:kern w:val="2"/>
                <w:sz w:val="24"/>
                <w:szCs w:val="24"/>
                <w:highlight w:val="none"/>
                <w:lang w:val="en-US" w:eastAsia="zh-CN" w:bidi="ar-SA"/>
              </w:rPr>
            </w:pP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响应文件有效期</w:t>
            </w:r>
          </w:p>
        </w:tc>
        <w:tc>
          <w:tcPr>
            <w:tcW w:w="5979" w:type="dxa"/>
            <w:tcBorders>
              <w:right w:val="nil"/>
            </w:tcBorders>
            <w:vAlign w:val="center"/>
          </w:tcPr>
          <w:p>
            <w:pPr>
              <w:adjustRightInd w:val="0"/>
              <w:snapToGrid w:val="0"/>
              <w:ind w:firstLine="480" w:firstLineChars="200"/>
              <w:rPr>
                <w:rFonts w:hint="eastAsia" w:ascii="仿宋" w:hAnsi="仿宋" w:eastAsia="仿宋" w:cs="仿宋"/>
                <w:color w:val="auto"/>
                <w:sz w:val="24"/>
                <w:szCs w:val="24"/>
                <w:highlight w:val="none"/>
                <w:u w:val="single"/>
              </w:rPr>
            </w:pPr>
            <w:r>
              <w:rPr>
                <w:rFonts w:hint="eastAsia" w:ascii="仿宋" w:hAnsi="仿宋" w:eastAsia="仿宋" w:cs="仿宋"/>
                <w:color w:val="auto"/>
                <w:sz w:val="24"/>
                <w:szCs w:val="24"/>
                <w:highlight w:val="none"/>
                <w:u w:val="single"/>
                <w:lang w:val="en-US" w:eastAsia="zh-CN"/>
              </w:rPr>
              <w:t>90个</w:t>
            </w:r>
            <w:r>
              <w:rPr>
                <w:rFonts w:hint="eastAsia" w:ascii="仿宋" w:hAnsi="仿宋" w:eastAsia="仿宋" w:cs="仿宋"/>
                <w:color w:val="auto"/>
                <w:sz w:val="24"/>
                <w:szCs w:val="24"/>
                <w:highlight w:val="none"/>
              </w:rPr>
              <w:t>日历天（从响应文件递交截止日算起）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925" w:type="dxa"/>
            <w:vMerge w:val="restart"/>
            <w:tcBorders>
              <w:left w:val="nil"/>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准备</w:t>
            </w:r>
          </w:p>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及其</w:t>
            </w:r>
          </w:p>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w:t>
            </w: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2.8</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响应文件份数</w:t>
            </w:r>
          </w:p>
        </w:tc>
        <w:tc>
          <w:tcPr>
            <w:tcW w:w="5979" w:type="dxa"/>
            <w:tcBorders>
              <w:right w:val="nil"/>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 xml:space="preserve">纸质文件正本1份，副本 </w:t>
            </w:r>
            <w:r>
              <w:rPr>
                <w:rFonts w:hint="eastAsia" w:ascii="仿宋" w:hAnsi="仿宋" w:eastAsia="仿宋" w:cs="仿宋"/>
                <w:color w:val="auto"/>
                <w:sz w:val="24"/>
                <w:szCs w:val="24"/>
                <w:highlight w:val="none"/>
                <w:u w:val="single"/>
                <w:lang w:val="en-US" w:eastAsia="zh-CN"/>
              </w:rPr>
              <w:t>1</w:t>
            </w:r>
            <w:r>
              <w:rPr>
                <w:rFonts w:hint="eastAsia" w:ascii="仿宋" w:hAnsi="仿宋" w:eastAsia="仿宋" w:cs="仿宋"/>
                <w:color w:val="auto"/>
                <w:sz w:val="24"/>
                <w:szCs w:val="24"/>
                <w:highlight w:val="none"/>
              </w:rPr>
              <w:t>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2"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.9</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响应文件的密封和标记</w:t>
            </w:r>
          </w:p>
        </w:tc>
        <w:tc>
          <w:tcPr>
            <w:tcW w:w="5979" w:type="dxa"/>
            <w:tcBorders>
              <w:right w:val="nil"/>
            </w:tcBorders>
            <w:vAlign w:val="center"/>
          </w:tcPr>
          <w:p>
            <w:pPr>
              <w:adjustRightInd w:val="0"/>
              <w:snapToGrid w:val="0"/>
              <w:ind w:firstLine="46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要求密封，响应文件应在密封处加盖公章，标注正本和副本，封皮应注明：</w:t>
            </w:r>
          </w:p>
          <w:p>
            <w:pPr>
              <w:adjustRightInd w:val="0"/>
              <w:snapToGrid w:val="0"/>
              <w:ind w:firstLine="465" w:firstLineChars="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项目名称</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rPr>
              <w:t>供应商名称</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rPr>
              <w:t>供应商地址</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rPr>
              <w:t>联系人及其联系方式</w:t>
            </w:r>
            <w:r>
              <w:rPr>
                <w:rFonts w:hint="eastAsia" w:ascii="仿宋" w:hAnsi="仿宋" w:eastAsia="仿宋" w:cs="仿宋"/>
                <w:color w:val="auto"/>
                <w:sz w:val="24"/>
                <w:szCs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.10</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响应文件提交</w:t>
            </w:r>
          </w:p>
        </w:tc>
        <w:tc>
          <w:tcPr>
            <w:tcW w:w="5979" w:type="dxa"/>
            <w:tcBorders>
              <w:right w:val="nil"/>
            </w:tcBorders>
            <w:vAlign w:val="center"/>
          </w:tcPr>
          <w:p>
            <w:pPr>
              <w:adjustRightInd w:val="0"/>
              <w:snapToGrid w:val="0"/>
              <w:ind w:left="480" w:hanging="480" w:hangingChars="200"/>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lang w:eastAsia="zh-CN"/>
              </w:rPr>
              <w:t>见采购</w:t>
            </w:r>
            <w:r>
              <w:rPr>
                <w:rFonts w:hint="eastAsia" w:ascii="仿宋" w:hAnsi="仿宋" w:eastAsia="仿宋" w:cs="仿宋"/>
                <w:color w:val="auto"/>
                <w:sz w:val="24"/>
                <w:szCs w:val="24"/>
                <w:highlight w:val="none"/>
                <w:lang w:val="en-US" w:eastAsia="zh-CN"/>
              </w:rPr>
              <w:t>公告（采购邀请书）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3" w:hRule="atLeast"/>
        </w:trPr>
        <w:tc>
          <w:tcPr>
            <w:tcW w:w="925" w:type="dxa"/>
            <w:vMerge w:val="restart"/>
            <w:tcBorders>
              <w:left w:val="nil"/>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文件开启及评审</w:t>
            </w: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.11</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响应文件开启会议</w:t>
            </w:r>
          </w:p>
        </w:tc>
        <w:tc>
          <w:tcPr>
            <w:tcW w:w="5979" w:type="dxa"/>
            <w:tcBorders>
              <w:right w:val="nil"/>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举行</w:t>
            </w:r>
          </w:p>
          <w:p>
            <w:pPr>
              <w:adjustRightInd w:val="0"/>
              <w:snapToGrid w:val="0"/>
              <w:ind w:firstLine="46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会议时间：同响应截止时间</w:t>
            </w:r>
          </w:p>
          <w:p>
            <w:pPr>
              <w:adjustRightInd w:val="0"/>
              <w:snapToGrid w:val="0"/>
              <w:ind w:firstLine="46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会议地点：</w:t>
            </w:r>
            <w:r>
              <w:rPr>
                <w:rFonts w:hint="eastAsia" w:ascii="仿宋" w:hAnsi="仿宋" w:eastAsia="仿宋" w:cs="仿宋"/>
                <w:color w:val="auto"/>
                <w:sz w:val="24"/>
                <w:szCs w:val="24"/>
                <w:highlight w:val="none"/>
                <w:lang w:val="en-US" w:eastAsia="zh-CN"/>
              </w:rPr>
              <w:t>采购公告（采购邀请书）</w:t>
            </w:r>
            <w:r>
              <w:rPr>
                <w:rFonts w:hint="eastAsia" w:ascii="仿宋" w:hAnsi="仿宋" w:eastAsia="仿宋" w:cs="仿宋"/>
                <w:color w:val="auto"/>
                <w:sz w:val="24"/>
                <w:szCs w:val="24"/>
                <w:highlight w:val="none"/>
              </w:rPr>
              <w:t>中指定地点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.12</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开启文件前的密封检查</w:t>
            </w:r>
          </w:p>
        </w:tc>
        <w:tc>
          <w:tcPr>
            <w:tcW w:w="5979" w:type="dxa"/>
            <w:tcBorders>
              <w:right w:val="nil"/>
            </w:tcBorders>
            <w:vAlign w:val="center"/>
          </w:tcPr>
          <w:p>
            <w:pPr>
              <w:adjustRightInd w:val="0"/>
              <w:snapToGrid w:val="0"/>
              <w:ind w:firstLine="465" w:firstLineChars="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密封情况检查顺序：</w:t>
            </w:r>
            <w:r>
              <w:rPr>
                <w:rFonts w:hint="eastAsia" w:ascii="仿宋" w:hAnsi="仿宋" w:eastAsia="仿宋" w:cs="仿宋"/>
                <w:color w:val="auto"/>
                <w:sz w:val="24"/>
                <w:szCs w:val="24"/>
                <w:highlight w:val="none"/>
                <w:u w:val="none"/>
                <w:lang w:val="en-US" w:eastAsia="zh-CN"/>
              </w:rPr>
              <w:t>响应文件拆封前检查，不按照采购文件要求密封的响应文件，采购人将予以拒收。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.13</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评审小组</w:t>
            </w:r>
          </w:p>
        </w:tc>
        <w:tc>
          <w:tcPr>
            <w:tcW w:w="5979" w:type="dxa"/>
            <w:tcBorders>
              <w:right w:val="nil"/>
            </w:tcBorders>
            <w:vAlign w:val="center"/>
          </w:tcPr>
          <w:p>
            <w:pPr>
              <w:adjustRightInd w:val="0"/>
              <w:snapToGrid w:val="0"/>
              <w:ind w:firstLine="0" w:firstLineChars="0"/>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rPr>
              <w:t>评审小组构成：</w:t>
            </w:r>
            <w:r>
              <w:rPr>
                <w:rFonts w:hint="eastAsia" w:ascii="仿宋" w:hAnsi="仿宋" w:eastAsia="仿宋" w:cs="仿宋"/>
                <w:color w:val="auto"/>
                <w:sz w:val="24"/>
                <w:szCs w:val="24"/>
                <w:highlight w:val="none"/>
                <w:u w:val="single"/>
                <w:lang w:val="en-US" w:eastAsia="zh-CN"/>
              </w:rPr>
              <w:t>3</w:t>
            </w:r>
            <w:r>
              <w:rPr>
                <w:rFonts w:hint="eastAsia" w:ascii="仿宋" w:hAnsi="仿宋" w:eastAsia="仿宋" w:cs="仿宋"/>
                <w:color w:val="auto"/>
                <w:sz w:val="24"/>
                <w:szCs w:val="24"/>
                <w:highlight w:val="none"/>
              </w:rPr>
              <w:t>人</w:t>
            </w:r>
            <w:r>
              <w:rPr>
                <w:rFonts w:hint="eastAsia" w:ascii="仿宋" w:hAnsi="仿宋" w:eastAsia="仿宋" w:cs="仿宋"/>
                <w:color w:val="auto"/>
                <w:sz w:val="24"/>
                <w:szCs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.14</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评审办法</w:t>
            </w:r>
          </w:p>
        </w:tc>
        <w:tc>
          <w:tcPr>
            <w:tcW w:w="5979" w:type="dxa"/>
            <w:tcBorders>
              <w:right w:val="nil"/>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见第</w:t>
            </w:r>
            <w:r>
              <w:rPr>
                <w:rFonts w:hint="eastAsia" w:ascii="仿宋" w:hAnsi="仿宋" w:eastAsia="仿宋" w:cs="仿宋"/>
                <w:color w:val="auto"/>
                <w:sz w:val="24"/>
                <w:szCs w:val="24"/>
                <w:highlight w:val="none"/>
                <w:lang w:val="en-US" w:eastAsia="zh-CN"/>
              </w:rPr>
              <w:t>四</w:t>
            </w:r>
            <w:r>
              <w:rPr>
                <w:rFonts w:hint="eastAsia" w:ascii="仿宋" w:hAnsi="仿宋" w:eastAsia="仿宋" w:cs="仿宋"/>
                <w:color w:val="auto"/>
                <w:sz w:val="24"/>
                <w:szCs w:val="24"/>
                <w:highlight w:val="none"/>
              </w:rPr>
              <w:t>章评审办法有关条款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.15</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成交候选人</w:t>
            </w:r>
          </w:p>
        </w:tc>
        <w:tc>
          <w:tcPr>
            <w:tcW w:w="5979" w:type="dxa"/>
            <w:tcBorders>
              <w:right w:val="nil"/>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在</w:t>
            </w:r>
            <w:r>
              <w:rPr>
                <w:rFonts w:hint="eastAsia" w:ascii="仿宋" w:hAnsi="仿宋" w:eastAsia="仿宋" w:cs="仿宋"/>
                <w:color w:val="auto"/>
                <w:sz w:val="24"/>
                <w:szCs w:val="24"/>
                <w:highlight w:val="none"/>
                <w:u w:val="single"/>
                <w:lang w:val="en-US" w:eastAsia="zh-CN"/>
              </w:rPr>
              <w:t>广州市净水有限公司门户网站</w:t>
            </w:r>
            <w:r>
              <w:rPr>
                <w:rFonts w:hint="eastAsia" w:ascii="仿宋" w:hAnsi="仿宋" w:eastAsia="仿宋" w:cs="仿宋"/>
                <w:color w:val="auto"/>
                <w:sz w:val="24"/>
                <w:szCs w:val="24"/>
                <w:highlight w:val="none"/>
              </w:rPr>
              <w:t>公示成交候选人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trPr>
        <w:tc>
          <w:tcPr>
            <w:tcW w:w="925" w:type="dxa"/>
            <w:vMerge w:val="restart"/>
            <w:tcBorders>
              <w:left w:val="nil"/>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确定成交人</w:t>
            </w: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.16</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成交办法</w:t>
            </w:r>
          </w:p>
        </w:tc>
        <w:tc>
          <w:tcPr>
            <w:tcW w:w="5979" w:type="dxa"/>
            <w:tcBorders>
              <w:right w:val="nil"/>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见第</w:t>
            </w:r>
            <w:r>
              <w:rPr>
                <w:rFonts w:hint="eastAsia" w:ascii="仿宋" w:hAnsi="仿宋" w:eastAsia="仿宋" w:cs="仿宋"/>
                <w:color w:val="auto"/>
                <w:sz w:val="24"/>
                <w:szCs w:val="24"/>
                <w:highlight w:val="none"/>
                <w:lang w:val="en-US" w:eastAsia="zh-CN"/>
              </w:rPr>
              <w:t>四</w:t>
            </w:r>
            <w:r>
              <w:rPr>
                <w:rFonts w:hint="eastAsia" w:ascii="仿宋" w:hAnsi="仿宋" w:eastAsia="仿宋" w:cs="仿宋"/>
                <w:color w:val="auto"/>
                <w:sz w:val="24"/>
                <w:szCs w:val="24"/>
                <w:highlight w:val="none"/>
              </w:rPr>
              <w:t>章采购方法有关条款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.17</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签订合同</w:t>
            </w:r>
          </w:p>
        </w:tc>
        <w:tc>
          <w:tcPr>
            <w:tcW w:w="5979" w:type="dxa"/>
            <w:tcBorders>
              <w:right w:val="nil"/>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见第</w:t>
            </w:r>
            <w:r>
              <w:rPr>
                <w:rFonts w:hint="eastAsia" w:ascii="仿宋" w:hAnsi="仿宋" w:eastAsia="仿宋" w:cs="仿宋"/>
                <w:color w:val="auto"/>
                <w:sz w:val="24"/>
                <w:szCs w:val="24"/>
                <w:highlight w:val="none"/>
                <w:lang w:val="en-US" w:eastAsia="zh-CN"/>
              </w:rPr>
              <w:t>四</w:t>
            </w:r>
            <w:r>
              <w:rPr>
                <w:rFonts w:hint="eastAsia" w:ascii="仿宋" w:hAnsi="仿宋" w:eastAsia="仿宋" w:cs="仿宋"/>
                <w:color w:val="auto"/>
                <w:sz w:val="24"/>
                <w:szCs w:val="24"/>
                <w:highlight w:val="none"/>
              </w:rPr>
              <w:t>章采购方法有关条款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.18</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履约担保</w:t>
            </w:r>
          </w:p>
        </w:tc>
        <w:tc>
          <w:tcPr>
            <w:tcW w:w="5979" w:type="dxa"/>
            <w:tcBorders>
              <w:right w:val="nil"/>
            </w:tcBorders>
            <w:vAlign w:val="center"/>
          </w:tcPr>
          <w:p>
            <w:pPr>
              <w:adjustRightInd w:val="0"/>
              <w:snapToGrid w:val="0"/>
              <w:ind w:firstLine="480" w:firstLineChars="200"/>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详见第六章合同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925" w:type="dxa"/>
            <w:vMerge w:val="restart"/>
            <w:tcBorders>
              <w:left w:val="nil"/>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其他</w:t>
            </w: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.19</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不一致情形</w:t>
            </w:r>
          </w:p>
        </w:tc>
        <w:tc>
          <w:tcPr>
            <w:tcW w:w="5979" w:type="dxa"/>
            <w:tcBorders>
              <w:right w:val="nil"/>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合同签订阶段，如采购文件内容与响应文件格式工程量清单存在不一致情形，则以响应文件格式工程量清单为准。如采购文件条款与合同存在不一致情形，则以合同为准。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2.20</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响应性</w:t>
            </w:r>
          </w:p>
        </w:tc>
        <w:tc>
          <w:tcPr>
            <w:tcW w:w="5979" w:type="dxa"/>
            <w:tcBorders>
              <w:right w:val="nil"/>
            </w:tcBorders>
            <w:vAlign w:val="center"/>
          </w:tcPr>
          <w:p>
            <w:pPr>
              <w:adjustRightInd w:val="0"/>
              <w:snapToGrid w:val="0"/>
              <w:ind w:firstLine="0" w:firstLineChars="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采购文件中，所有要求均为实质性响应条款，供应商如有任何一条负偏离则导致投标（报价）无效，将按无效响应处理。供应商应按采购文件的规定及附件要求的内容和格式完整地填写和提供资料。供应商必须对响应文件所提供的全部资料的真实性承担法律责任，并无条件接受采购人对其中任何资料进行核实（核对原件）的要求。采购人核对发现有不一致或供应商无正当理由不按时提供原件的，按成交无效处理。</w:t>
            </w:r>
          </w:p>
        </w:tc>
      </w:tr>
    </w:tbl>
    <w:p>
      <w:pPr>
        <w:adjustRightInd w:val="0"/>
        <w:snapToGrid w:val="0"/>
        <w:spacing w:beforeLines="50" w:afterLines="50" w:line="560" w:lineRule="exact"/>
        <w:ind w:left="0" w:firstLine="0" w:firstLineChars="0"/>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lang w:val="en-US" w:eastAsia="zh-CN"/>
        </w:rPr>
        <w:t>2</w:t>
      </w:r>
      <w:r>
        <w:rPr>
          <w:rFonts w:hint="eastAsia" w:ascii="仿宋" w:hAnsi="仿宋" w:eastAsia="仿宋" w:cs="仿宋"/>
          <w:b/>
          <w:color w:val="auto"/>
          <w:sz w:val="32"/>
          <w:szCs w:val="32"/>
          <w:highlight w:val="none"/>
        </w:rPr>
        <w:t>.若出现以下情况之一的，采购人将拒绝接收响应文件</w:t>
      </w:r>
    </w:p>
    <w:p>
      <w:pPr>
        <w:adjustRightInd w:val="0"/>
        <w:snapToGrid w:val="0"/>
        <w:spacing w:line="600" w:lineRule="exact"/>
        <w:ind w:firstLine="420" w:firstLineChars="15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（1）逾期送达的、未送达指定地点的响应文件，采购人将予以拒收。</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 xml:space="preserve">   （2）不按照采购文件要求密封的响应文件，采购人将予以拒收。</w:t>
      </w:r>
    </w:p>
    <w:p>
      <w:pPr>
        <w:adjustRightInd w:val="0"/>
        <w:snapToGrid w:val="0"/>
        <w:spacing w:beforeLines="50" w:afterLines="50" w:line="560" w:lineRule="exact"/>
        <w:ind w:left="643" w:hanging="643" w:hangingChars="200"/>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lang w:val="en-US" w:eastAsia="zh-CN"/>
        </w:rPr>
        <w:t>3</w:t>
      </w:r>
      <w:r>
        <w:rPr>
          <w:rFonts w:hint="eastAsia" w:ascii="仿宋" w:hAnsi="仿宋" w:eastAsia="仿宋" w:cs="仿宋"/>
          <w:b/>
          <w:color w:val="auto"/>
          <w:sz w:val="32"/>
          <w:szCs w:val="32"/>
          <w:highlight w:val="none"/>
        </w:rPr>
        <w:t>.发生下列情况之一者，视为无效响应行为</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（1）响应文件未按规定签字、盖章的。</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2</w:t>
      </w:r>
      <w:r>
        <w:rPr>
          <w:rFonts w:hint="eastAsia" w:ascii="仿宋" w:hAnsi="仿宋" w:eastAsia="仿宋" w:cs="仿宋"/>
          <w:color w:val="auto"/>
          <w:sz w:val="28"/>
          <w:szCs w:val="28"/>
          <w:highlight w:val="none"/>
        </w:rPr>
        <w:t>）响应文件未按规定格式填写，或内容与采购文件严重背离的。</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3</w:t>
      </w:r>
      <w:r>
        <w:rPr>
          <w:rFonts w:hint="eastAsia" w:ascii="仿宋" w:hAnsi="仿宋" w:eastAsia="仿宋" w:cs="仿宋"/>
          <w:color w:val="auto"/>
          <w:sz w:val="28"/>
          <w:szCs w:val="28"/>
          <w:highlight w:val="none"/>
        </w:rPr>
        <w:t>）响应文件有两个以上报价的（采购文件允许提交备选方案的除外）。</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4</w:t>
      </w:r>
      <w:r>
        <w:rPr>
          <w:rFonts w:hint="eastAsia" w:ascii="仿宋" w:hAnsi="仿宋" w:eastAsia="仿宋" w:cs="仿宋"/>
          <w:color w:val="auto"/>
          <w:sz w:val="28"/>
          <w:szCs w:val="28"/>
          <w:highlight w:val="none"/>
        </w:rPr>
        <w:t>）质量标准不符合采购文件要求的。</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5</w:t>
      </w:r>
      <w:r>
        <w:rPr>
          <w:rFonts w:hint="eastAsia" w:ascii="仿宋" w:hAnsi="仿宋" w:eastAsia="仿宋" w:cs="仿宋"/>
          <w:color w:val="auto"/>
          <w:sz w:val="28"/>
          <w:szCs w:val="28"/>
          <w:highlight w:val="none"/>
        </w:rPr>
        <w:t>）服务期不符合采购文件要求的。</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）报价超过最高限价的。</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7</w:t>
      </w:r>
      <w:r>
        <w:rPr>
          <w:rFonts w:hint="eastAsia" w:ascii="仿宋" w:hAnsi="仿宋" w:eastAsia="仿宋" w:cs="仿宋"/>
          <w:color w:val="auto"/>
          <w:sz w:val="28"/>
          <w:szCs w:val="28"/>
          <w:highlight w:val="none"/>
        </w:rPr>
        <w:t>）供应商不符合国家或采购文件规定的资格条件。</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8</w:t>
      </w:r>
      <w:r>
        <w:rPr>
          <w:rFonts w:hint="eastAsia" w:ascii="仿宋" w:hAnsi="仿宋" w:eastAsia="仿宋" w:cs="仿宋"/>
          <w:color w:val="auto"/>
          <w:sz w:val="28"/>
          <w:szCs w:val="28"/>
          <w:highlight w:val="none"/>
        </w:rPr>
        <w:t>）响应文件没有对采购文件的实质性要求和条件作出响应。</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9</w:t>
      </w:r>
      <w:r>
        <w:rPr>
          <w:rFonts w:hint="eastAsia" w:ascii="仿宋" w:hAnsi="仿宋" w:eastAsia="仿宋" w:cs="仿宋"/>
          <w:color w:val="auto"/>
          <w:sz w:val="28"/>
          <w:szCs w:val="28"/>
          <w:highlight w:val="none"/>
        </w:rPr>
        <w:t>）其他不符合采购文件要求的情形。</w:t>
      </w:r>
    </w:p>
    <w:p>
      <w:pPr>
        <w:spacing w:line="560" w:lineRule="exact"/>
        <w:ind w:firstLine="555"/>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（10）非法定代表人或授权委托代理人递交响应文件。</w:t>
      </w:r>
    </w:p>
    <w:p>
      <w:pPr>
        <w:adjustRightInd w:val="0"/>
        <w:snapToGrid w:val="0"/>
        <w:spacing w:beforeLines="50" w:afterLines="50" w:line="560" w:lineRule="exact"/>
        <w:ind w:left="643" w:hanging="643" w:hangingChars="200"/>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lang w:val="en-US" w:eastAsia="zh-CN"/>
        </w:rPr>
        <w:t>4</w:t>
      </w:r>
      <w:r>
        <w:rPr>
          <w:rFonts w:hint="eastAsia" w:ascii="仿宋" w:hAnsi="仿宋" w:eastAsia="仿宋" w:cs="仿宋"/>
          <w:b/>
          <w:color w:val="auto"/>
          <w:sz w:val="32"/>
          <w:szCs w:val="32"/>
          <w:highlight w:val="none"/>
        </w:rPr>
        <w:t>.响应保证金</w:t>
      </w:r>
    </w:p>
    <w:p>
      <w:pPr>
        <w:adjustRightInd w:val="0"/>
        <w:snapToGrid w:val="0"/>
        <w:spacing w:line="560" w:lineRule="exact"/>
        <w:ind w:firstLine="555"/>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本项目无须递交响应保证金。</w:t>
      </w:r>
    </w:p>
    <w:p>
      <w:pPr>
        <w:adjustRightInd w:val="0"/>
        <w:snapToGrid w:val="0"/>
        <w:spacing w:beforeLines="50" w:afterLines="50" w:line="560" w:lineRule="exact"/>
        <w:ind w:left="643" w:hanging="643" w:hangingChars="200"/>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lang w:val="en-US" w:eastAsia="zh-CN"/>
        </w:rPr>
        <w:t>5</w:t>
      </w:r>
      <w:r>
        <w:rPr>
          <w:rFonts w:hint="eastAsia" w:ascii="仿宋" w:hAnsi="仿宋" w:eastAsia="仿宋" w:cs="仿宋"/>
          <w:b/>
          <w:color w:val="auto"/>
          <w:sz w:val="32"/>
          <w:szCs w:val="32"/>
          <w:highlight w:val="none"/>
        </w:rPr>
        <w:t>.响应文件要求</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5</w:t>
      </w:r>
      <w:r>
        <w:rPr>
          <w:rFonts w:hint="eastAsia" w:ascii="仿宋" w:hAnsi="仿宋" w:eastAsia="仿宋" w:cs="仿宋"/>
          <w:color w:val="auto"/>
          <w:sz w:val="28"/>
          <w:szCs w:val="28"/>
          <w:highlight w:val="none"/>
        </w:rPr>
        <w:t>.1响应文件包括下列内容</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1.响应函</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2.法定代表人证明或授权委托书</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3.资格审查资料</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4.拟投入本项目的项目负责人情况表</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5.报价表</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6.其他资料</w:t>
      </w:r>
    </w:p>
    <w:p>
      <w:pPr>
        <w:adjustRightInd w:val="0"/>
        <w:snapToGrid w:val="0"/>
        <w:spacing w:beforeLines="50" w:afterLines="50" w:line="560" w:lineRule="exact"/>
        <w:ind w:left="643" w:hanging="643" w:hangingChars="200"/>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lang w:val="en-US" w:eastAsia="zh-CN"/>
        </w:rPr>
        <w:t>6</w:t>
      </w:r>
      <w:r>
        <w:rPr>
          <w:rFonts w:hint="eastAsia" w:ascii="仿宋" w:hAnsi="仿宋" w:eastAsia="仿宋" w:cs="仿宋"/>
          <w:b/>
          <w:color w:val="auto"/>
          <w:sz w:val="32"/>
          <w:szCs w:val="32"/>
          <w:highlight w:val="none"/>
        </w:rPr>
        <w:t>.异议</w:t>
      </w:r>
    </w:p>
    <w:p>
      <w:pPr>
        <w:adjustRightInd w:val="0"/>
        <w:snapToGrid w:val="0"/>
        <w:spacing w:line="560" w:lineRule="exact"/>
        <w:ind w:firstLine="573"/>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.1 供应商或其他利害关系人可以对采购公告</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采购邀请书</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rPr>
        <w:t>、采购文件、成交候选人等提出异议。异议应在采购公告或文件规定的时间内、成交候选人公示期间通过规定的异议渠道提出，并递交异议函和必要的证明材料。</w:t>
      </w:r>
      <w:r>
        <w:rPr>
          <w:rFonts w:hint="eastAsia" w:ascii="仿宋" w:hAnsi="仿宋" w:eastAsia="仿宋" w:cs="仿宋"/>
          <w:color w:val="auto"/>
          <w:sz w:val="28"/>
          <w:szCs w:val="28"/>
          <w:highlight w:val="none"/>
          <w:lang w:val="en-US" w:eastAsia="zh-CN"/>
        </w:rPr>
        <w:t>须按附件5表格提出</w:t>
      </w:r>
      <w:r>
        <w:rPr>
          <w:rFonts w:hint="eastAsia" w:ascii="仿宋" w:hAnsi="仿宋" w:eastAsia="仿宋" w:cs="仿宋"/>
          <w:color w:val="auto"/>
          <w:sz w:val="28"/>
          <w:szCs w:val="28"/>
          <w:highlight w:val="none"/>
        </w:rPr>
        <w:t>异议</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异议</w:t>
      </w:r>
      <w:r>
        <w:rPr>
          <w:rFonts w:hint="eastAsia" w:ascii="仿宋" w:hAnsi="仿宋" w:eastAsia="仿宋" w:cs="仿宋"/>
          <w:color w:val="auto"/>
          <w:sz w:val="28"/>
          <w:szCs w:val="28"/>
          <w:highlight w:val="none"/>
        </w:rPr>
        <w:t>函包括但不限于下列内容：</w:t>
      </w:r>
    </w:p>
    <w:p>
      <w:pPr>
        <w:adjustRightInd w:val="0"/>
        <w:snapToGrid w:val="0"/>
        <w:spacing w:line="560" w:lineRule="exact"/>
        <w:ind w:firstLine="573"/>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（1）异议人名称、地址、邮政编码、联系人及联系电话；</w:t>
      </w:r>
    </w:p>
    <w:p>
      <w:pPr>
        <w:adjustRightInd w:val="0"/>
        <w:snapToGrid w:val="0"/>
        <w:spacing w:line="560" w:lineRule="exact"/>
        <w:ind w:firstLine="573"/>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（2）具体、明确的异议事项、事实依据及与异议事项相关的请求。</w:t>
      </w:r>
    </w:p>
    <w:p>
      <w:pPr>
        <w:adjustRightInd w:val="0"/>
        <w:snapToGrid w:val="0"/>
        <w:spacing w:line="560" w:lineRule="exact"/>
        <w:ind w:firstLine="573"/>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异议函应由异议人的法定代表人（单位负责人）或其授权的代理人签字并加盖单位章。</w:t>
      </w:r>
    </w:p>
    <w:p>
      <w:pPr>
        <w:adjustRightInd w:val="0"/>
        <w:snapToGrid w:val="0"/>
        <w:spacing w:line="560" w:lineRule="exact"/>
        <w:ind w:firstLine="573"/>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2采购人将针对异议事项进行核查，经过核查，发现异议人对相关问题理解有误的，应作出解释；发现采购活动中确实存在错误或不当行为的，应及时予以改正或补救。采购人认为异议不成立或不影响采购结果的，在做出相关回应后可以继续进行采购活动。</w:t>
      </w:r>
    </w:p>
    <w:p>
      <w:pPr>
        <w:adjustRightInd w:val="0"/>
        <w:snapToGrid w:val="0"/>
        <w:spacing w:line="560" w:lineRule="exact"/>
        <w:ind w:firstLine="573"/>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.3 异议人与采购人对异议事项无法达成一致的，异议人可向采购人的监管部门进行反映。</w:t>
      </w:r>
    </w:p>
    <w:p>
      <w:pPr>
        <w:adjustRightInd w:val="0"/>
        <w:snapToGrid w:val="0"/>
        <w:spacing w:beforeLines="50" w:afterLines="50" w:line="560" w:lineRule="exact"/>
        <w:ind w:left="643" w:hanging="643" w:hangingChars="200"/>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lang w:val="en-US" w:eastAsia="zh-CN"/>
        </w:rPr>
        <w:t>7</w:t>
      </w:r>
      <w:r>
        <w:rPr>
          <w:rFonts w:hint="eastAsia" w:ascii="仿宋" w:hAnsi="仿宋" w:eastAsia="仿宋" w:cs="仿宋"/>
          <w:b/>
          <w:color w:val="auto"/>
          <w:sz w:val="32"/>
          <w:szCs w:val="32"/>
          <w:highlight w:val="none"/>
        </w:rPr>
        <w:t>.本章附件</w:t>
      </w:r>
    </w:p>
    <w:p>
      <w:pPr>
        <w:adjustRightInd w:val="0"/>
        <w:snapToGrid w:val="0"/>
        <w:spacing w:line="560" w:lineRule="exact"/>
        <w:ind w:firstLine="694" w:firstLineChars="248"/>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附件1：响应文件开启表</w:t>
      </w:r>
    </w:p>
    <w:p>
      <w:pPr>
        <w:adjustRightInd w:val="0"/>
        <w:snapToGrid w:val="0"/>
        <w:spacing w:line="560" w:lineRule="exact"/>
        <w:ind w:firstLine="694" w:firstLineChars="248"/>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附件2：问题澄清通知</w:t>
      </w:r>
    </w:p>
    <w:p>
      <w:pPr>
        <w:adjustRightInd w:val="0"/>
        <w:snapToGrid w:val="0"/>
        <w:spacing w:line="560" w:lineRule="exact"/>
        <w:ind w:firstLine="694" w:firstLineChars="248"/>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附件3：问题的澄清</w:t>
      </w:r>
    </w:p>
    <w:p>
      <w:pPr>
        <w:adjustRightInd w:val="0"/>
        <w:snapToGrid w:val="0"/>
        <w:spacing w:line="560" w:lineRule="exact"/>
        <w:ind w:firstLine="694" w:firstLineChars="248"/>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附件4：成交通知书</w:t>
      </w:r>
    </w:p>
    <w:p>
      <w:pPr>
        <w:adjustRightInd w:val="0"/>
        <w:snapToGrid w:val="0"/>
        <w:spacing w:line="600" w:lineRule="exact"/>
        <w:jc w:val="left"/>
        <w:rPr>
          <w:rFonts w:hint="eastAsia" w:ascii="仿宋" w:hAnsi="仿宋" w:eastAsia="仿宋" w:cs="仿宋"/>
          <w:b/>
          <w:color w:val="auto"/>
          <w:sz w:val="28"/>
          <w:szCs w:val="28"/>
          <w:highlight w:val="none"/>
          <w:lang w:val="en-US" w:eastAsia="zh-CN"/>
        </w:rPr>
      </w:pPr>
      <w:r>
        <w:rPr>
          <w:rFonts w:hint="eastAsia" w:ascii="仿宋" w:hAnsi="仿宋" w:eastAsia="仿宋" w:cs="仿宋"/>
          <w:b/>
          <w:color w:val="auto"/>
          <w:sz w:val="28"/>
          <w:szCs w:val="28"/>
          <w:highlight w:val="none"/>
          <w:lang w:val="en-US" w:eastAsia="zh-CN"/>
        </w:rPr>
        <w:t xml:space="preserve">  </w:t>
      </w:r>
      <w:r>
        <w:rPr>
          <w:rFonts w:hint="eastAsia" w:ascii="仿宋" w:hAnsi="仿宋" w:eastAsia="仿宋" w:cs="仿宋"/>
          <w:b w:val="0"/>
          <w:color w:val="auto"/>
          <w:sz w:val="28"/>
          <w:szCs w:val="28"/>
          <w:highlight w:val="none"/>
          <w:lang w:val="en-US" w:eastAsia="zh-CN"/>
        </w:rPr>
        <w:t xml:space="preserve">   </w:t>
      </w:r>
      <w:r>
        <w:rPr>
          <w:rFonts w:hint="eastAsia" w:ascii="仿宋" w:hAnsi="仿宋" w:eastAsia="仿宋" w:cs="仿宋"/>
          <w:color w:val="auto"/>
          <w:sz w:val="28"/>
          <w:szCs w:val="28"/>
          <w:highlight w:val="none"/>
        </w:rPr>
        <w:t>附件</w:t>
      </w:r>
      <w:r>
        <w:rPr>
          <w:rFonts w:hint="eastAsia" w:ascii="仿宋" w:hAnsi="仿宋" w:eastAsia="仿宋" w:cs="仿宋"/>
          <w:color w:val="auto"/>
          <w:sz w:val="28"/>
          <w:szCs w:val="28"/>
          <w:highlight w:val="none"/>
          <w:lang w:val="en-US" w:eastAsia="zh-CN"/>
        </w:rPr>
        <w:t>5</w:t>
      </w:r>
      <w:r>
        <w:rPr>
          <w:rFonts w:hint="eastAsia" w:ascii="仿宋" w:hAnsi="仿宋" w:eastAsia="仿宋" w:cs="仿宋"/>
          <w:color w:val="auto"/>
          <w:sz w:val="28"/>
          <w:szCs w:val="28"/>
          <w:highlight w:val="none"/>
        </w:rPr>
        <w:t>：关于**项目异议书</w:t>
      </w:r>
    </w:p>
    <w:p>
      <w:pPr>
        <w:adjustRightInd w:val="0"/>
        <w:snapToGrid w:val="0"/>
        <w:spacing w:line="600" w:lineRule="exact"/>
        <w:jc w:val="left"/>
        <w:rPr>
          <w:rFonts w:asciiTheme="majorEastAsia" w:hAnsiTheme="majorEastAsia" w:eastAsiaTheme="majorEastAsia"/>
          <w:b/>
          <w:color w:val="auto"/>
          <w:sz w:val="28"/>
          <w:szCs w:val="28"/>
          <w:highlight w:val="none"/>
        </w:rPr>
      </w:pPr>
    </w:p>
    <w:p>
      <w:pPr>
        <w:pStyle w:val="23"/>
        <w:rPr>
          <w:rFonts w:asciiTheme="majorEastAsia" w:hAnsiTheme="majorEastAsia" w:eastAsiaTheme="majorEastAsia"/>
          <w:b/>
          <w:color w:val="auto"/>
          <w:sz w:val="28"/>
          <w:szCs w:val="28"/>
          <w:highlight w:val="none"/>
        </w:rPr>
      </w:pPr>
    </w:p>
    <w:p>
      <w:pPr>
        <w:rPr>
          <w:rFonts w:asciiTheme="majorEastAsia" w:hAnsiTheme="majorEastAsia" w:eastAsiaTheme="majorEastAsia"/>
          <w:b/>
          <w:color w:val="auto"/>
          <w:sz w:val="28"/>
          <w:szCs w:val="28"/>
          <w:highlight w:val="none"/>
        </w:rPr>
      </w:pPr>
      <w:r>
        <w:rPr>
          <w:rFonts w:asciiTheme="majorEastAsia" w:hAnsiTheme="majorEastAsia" w:eastAsiaTheme="majorEastAsia"/>
          <w:b/>
          <w:color w:val="auto"/>
          <w:sz w:val="28"/>
          <w:szCs w:val="28"/>
          <w:highlight w:val="none"/>
        </w:rPr>
        <w:br w:type="page"/>
      </w: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asciiTheme="majorEastAsia" w:hAnsiTheme="majorEastAsia" w:eastAsiaTheme="majorEastAsia"/>
          <w:b/>
          <w:color w:val="auto"/>
          <w:sz w:val="28"/>
          <w:szCs w:val="28"/>
          <w:highlight w:val="none"/>
        </w:rPr>
        <w:t>附件</w:t>
      </w:r>
      <w:r>
        <w:rPr>
          <w:rFonts w:hint="eastAsia" w:asciiTheme="majorEastAsia" w:hAnsiTheme="majorEastAsia" w:eastAsiaTheme="majorEastAsia"/>
          <w:b/>
          <w:color w:val="auto"/>
          <w:sz w:val="28"/>
          <w:szCs w:val="28"/>
          <w:highlight w:val="none"/>
        </w:rPr>
        <w:t>1</w:t>
      </w:r>
    </w:p>
    <w:p>
      <w:pPr>
        <w:adjustRightInd w:val="0"/>
        <w:snapToGrid w:val="0"/>
        <w:spacing w:line="600" w:lineRule="exact"/>
        <w:jc w:val="center"/>
        <w:rPr>
          <w:rFonts w:ascii="方正小标宋简体" w:eastAsia="方正小标宋简体" w:hAnsiTheme="majorEastAsia"/>
          <w:color w:val="auto"/>
          <w:sz w:val="32"/>
          <w:szCs w:val="32"/>
          <w:highlight w:val="none"/>
        </w:rPr>
      </w:pPr>
    </w:p>
    <w:p>
      <w:pPr>
        <w:adjustRightInd w:val="0"/>
        <w:snapToGrid w:val="0"/>
        <w:spacing w:line="600" w:lineRule="exact"/>
        <w:jc w:val="center"/>
        <w:rPr>
          <w:rFonts w:ascii="方正小标宋简体" w:eastAsia="方正小标宋简体" w:hAnsiTheme="majorEastAsia"/>
          <w:color w:val="auto"/>
          <w:sz w:val="32"/>
          <w:szCs w:val="32"/>
          <w:highlight w:val="none"/>
        </w:rPr>
      </w:pPr>
      <w:r>
        <w:rPr>
          <w:rFonts w:hint="eastAsia" w:ascii="方正小标宋简体" w:eastAsia="方正小标宋简体" w:hAnsiTheme="majorEastAsia"/>
          <w:color w:val="auto"/>
          <w:sz w:val="32"/>
          <w:szCs w:val="32"/>
          <w:highlight w:val="none"/>
        </w:rPr>
        <w:t>响应文件开启表</w:t>
      </w:r>
    </w:p>
    <w:p>
      <w:pPr>
        <w:pStyle w:val="38"/>
        <w:rPr>
          <w:color w:val="auto"/>
          <w:highlight w:val="none"/>
        </w:rPr>
      </w:pP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开启时间：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时</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分</w:t>
      </w:r>
    </w:p>
    <w:tbl>
      <w:tblPr>
        <w:tblStyle w:val="25"/>
        <w:tblW w:w="0" w:type="auto"/>
        <w:tblInd w:w="-204"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2659"/>
        <w:gridCol w:w="1173"/>
        <w:gridCol w:w="1909"/>
        <w:gridCol w:w="1609"/>
        <w:gridCol w:w="668"/>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54"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序号</w:t>
            </w:r>
          </w:p>
        </w:tc>
        <w:tc>
          <w:tcPr>
            <w:tcW w:w="2659"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供应商</w:t>
            </w:r>
          </w:p>
        </w:tc>
        <w:tc>
          <w:tcPr>
            <w:tcW w:w="1173"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密封情况</w:t>
            </w:r>
          </w:p>
        </w:tc>
        <w:tc>
          <w:tcPr>
            <w:tcW w:w="1909" w:type="dxa"/>
            <w:vMerge w:val="restart"/>
            <w:tcBorders>
              <w:top w:val="single" w:color="auto" w:sz="4" w:space="0"/>
            </w:tcBorders>
            <w:vAlign w:val="center"/>
          </w:tcPr>
          <w:p>
            <w:pPr>
              <w:adjustRightInd w:val="0"/>
              <w:snapToGrid w:val="0"/>
              <w:jc w:val="center"/>
              <w:rPr>
                <w:rFonts w:hint="default" w:ascii="仿宋_GB2312" w:eastAsia="仿宋_GB2312"/>
                <w:color w:val="auto"/>
                <w:sz w:val="24"/>
                <w:szCs w:val="24"/>
                <w:highlight w:val="none"/>
                <w:lang w:val="en-US" w:eastAsia="zh-CN"/>
              </w:rPr>
            </w:pPr>
            <w:r>
              <w:rPr>
                <w:rFonts w:ascii="仿宋_GB2312" w:eastAsia="仿宋_GB2312"/>
                <w:color w:val="auto"/>
                <w:sz w:val="24"/>
                <w:szCs w:val="24"/>
                <w:highlight w:val="none"/>
              </w:rPr>
              <w:t>报价</w:t>
            </w:r>
            <w:r>
              <w:rPr>
                <w:rFonts w:hint="eastAsia" w:ascii="仿宋_GB2312" w:eastAsia="仿宋_GB2312"/>
                <w:color w:val="auto"/>
                <w:sz w:val="24"/>
                <w:szCs w:val="24"/>
                <w:highlight w:val="none"/>
                <w:lang w:eastAsia="zh-CN"/>
              </w:rPr>
              <w:t>（</w:t>
            </w:r>
            <w:r>
              <w:rPr>
                <w:rFonts w:hint="eastAsia" w:ascii="仿宋_GB2312" w:eastAsia="仿宋_GB2312"/>
                <w:color w:val="auto"/>
                <w:sz w:val="24"/>
                <w:szCs w:val="24"/>
                <w:highlight w:val="none"/>
                <w:lang w:val="en-US" w:eastAsia="zh-CN"/>
              </w:rPr>
              <w:t>元）</w:t>
            </w:r>
          </w:p>
        </w:tc>
        <w:tc>
          <w:tcPr>
            <w:tcW w:w="1609"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供应商代表签名</w:t>
            </w:r>
          </w:p>
        </w:tc>
        <w:tc>
          <w:tcPr>
            <w:tcW w:w="668"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备注</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554"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2659"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668"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jc w:val="center"/>
              <w:rPr>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jc w:val="center"/>
              <w:rPr>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jc w:val="center"/>
              <w:rPr>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jc w:val="center"/>
              <w:rPr>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tcBorders>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2659" w:type="dxa"/>
            <w:tcBorders>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tcBorders>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tcBorders>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tcBorders>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p>
        </w:tc>
        <w:tc>
          <w:tcPr>
            <w:tcW w:w="668" w:type="dxa"/>
            <w:tcBorders>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2659"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tcBorders>
              <w:top w:val="single" w:color="auto" w:sz="4" w:space="0"/>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p>
        </w:tc>
        <w:tc>
          <w:tcPr>
            <w:tcW w:w="668" w:type="dxa"/>
            <w:tcBorders>
              <w:top w:val="single" w:color="auto" w:sz="4" w:space="0"/>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p>
        </w:tc>
      </w:tr>
    </w:tbl>
    <w:p>
      <w:pPr>
        <w:adjustRightInd w:val="0"/>
        <w:snapToGrid w:val="0"/>
        <w:spacing w:line="600" w:lineRule="exact"/>
        <w:ind w:firstLine="555"/>
        <w:jc w:val="left"/>
        <w:rPr>
          <w:rFonts w:ascii="仿宋_GB2312" w:eastAsia="仿宋_GB2312" w:hAnsiTheme="majorEastAsia"/>
          <w:color w:val="auto"/>
          <w:sz w:val="28"/>
          <w:szCs w:val="28"/>
          <w:highlight w:val="none"/>
          <w:u w:val="single"/>
        </w:rPr>
      </w:pPr>
      <w:r>
        <w:rPr>
          <w:rFonts w:hint="eastAsia" w:ascii="仿宋_GB2312" w:eastAsia="仿宋_GB2312" w:hAnsiTheme="majorEastAsia"/>
          <w:color w:val="auto"/>
          <w:sz w:val="28"/>
          <w:szCs w:val="28"/>
          <w:highlight w:val="none"/>
        </w:rPr>
        <w:t>采购人代表</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记录人</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w:t>
      </w: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adjustRightInd w:val="0"/>
        <w:snapToGrid w:val="0"/>
        <w:spacing w:line="600" w:lineRule="exact"/>
        <w:ind w:firstLine="555"/>
        <w:jc w:val="left"/>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adjustRightInd w:val="0"/>
        <w:snapToGrid w:val="0"/>
        <w:spacing w:line="600" w:lineRule="exact"/>
        <w:ind w:firstLine="555"/>
        <w:jc w:val="left"/>
        <w:rPr>
          <w:rFonts w:ascii="仿宋_GB2312" w:eastAsia="仿宋_GB2312" w:hAnsiTheme="majorEastAsia"/>
          <w:color w:val="auto"/>
          <w:sz w:val="28"/>
          <w:szCs w:val="28"/>
          <w:highlight w:val="none"/>
        </w:rPr>
      </w:pPr>
    </w:p>
    <w:p>
      <w:pPr>
        <w:adjustRightInd w:val="0"/>
        <w:snapToGrid w:val="0"/>
        <w:spacing w:line="600" w:lineRule="exact"/>
        <w:jc w:val="left"/>
        <w:rPr>
          <w:rFonts w:hint="eastAsia"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Theme="majorEastAsia" w:hAnsiTheme="majorEastAsia" w:eastAsiaTheme="majorEastAsia"/>
          <w:b/>
          <w:color w:val="auto"/>
          <w:sz w:val="28"/>
          <w:szCs w:val="28"/>
          <w:highlight w:val="none"/>
        </w:rPr>
        <w:t>附件2</w:t>
      </w:r>
    </w:p>
    <w:p>
      <w:pPr>
        <w:adjustRightInd w:val="0"/>
        <w:snapToGrid w:val="0"/>
        <w:spacing w:line="600" w:lineRule="exact"/>
        <w:jc w:val="center"/>
        <w:rPr>
          <w:rFonts w:ascii="方正小标宋简体" w:eastAsia="方正小标宋简体" w:hAnsiTheme="majorEastAsia"/>
          <w:color w:val="auto"/>
          <w:sz w:val="32"/>
          <w:szCs w:val="32"/>
          <w:highlight w:val="none"/>
        </w:rPr>
      </w:pPr>
    </w:p>
    <w:p>
      <w:pPr>
        <w:adjustRightInd w:val="0"/>
        <w:snapToGrid w:val="0"/>
        <w:spacing w:line="600" w:lineRule="exact"/>
        <w:jc w:val="center"/>
        <w:rPr>
          <w:rFonts w:ascii="方正小标宋简体" w:eastAsia="方正小标宋简体" w:hAnsiTheme="majorEastAsia"/>
          <w:color w:val="auto"/>
          <w:sz w:val="32"/>
          <w:szCs w:val="32"/>
          <w:highlight w:val="none"/>
        </w:rPr>
      </w:pPr>
      <w:r>
        <w:rPr>
          <w:rFonts w:hint="eastAsia" w:ascii="方正小标宋简体" w:eastAsia="方正小标宋简体" w:hAnsiTheme="majorEastAsia"/>
          <w:color w:val="auto"/>
          <w:sz w:val="32"/>
          <w:szCs w:val="32"/>
          <w:highlight w:val="none"/>
        </w:rPr>
        <w:t>问题澄清通知</w:t>
      </w:r>
    </w:p>
    <w:p>
      <w:pPr>
        <w:pStyle w:val="38"/>
        <w:rPr>
          <w:color w:val="auto"/>
          <w:highlight w:val="none"/>
        </w:rPr>
      </w:pP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编号：</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u w:val="single"/>
        </w:rPr>
        <w:t xml:space="preserve">   （供应商名称）    </w:t>
      </w:r>
      <w:r>
        <w:rPr>
          <w:rFonts w:hint="eastAsia" w:ascii="仿宋_GB2312" w:eastAsia="仿宋_GB2312" w:hAnsiTheme="majorEastAsia"/>
          <w:color w:val="auto"/>
          <w:sz w:val="28"/>
          <w:szCs w:val="28"/>
          <w:highlight w:val="none"/>
        </w:rPr>
        <w:t>：</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（项目名称） </w:t>
      </w:r>
      <w:r>
        <w:rPr>
          <w:rFonts w:hint="eastAsia" w:ascii="仿宋_GB2312" w:eastAsia="仿宋_GB2312" w:hAnsiTheme="majorEastAsia"/>
          <w:color w:val="auto"/>
          <w:sz w:val="28"/>
          <w:szCs w:val="28"/>
          <w:highlight w:val="none"/>
        </w:rPr>
        <w:t>的评审小组，对你方的响应文件进行了仔细的审查，现需你方对下列问题以书面形式予以澄清：</w:t>
      </w: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1.</w:t>
      </w: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2.</w:t>
      </w: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请将上述问题的澄清于</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时前递交至</w:t>
      </w:r>
      <w:r>
        <w:rPr>
          <w:rFonts w:hint="eastAsia" w:ascii="仿宋_GB2312" w:eastAsia="仿宋_GB2312" w:hAnsiTheme="majorEastAsia"/>
          <w:color w:val="auto"/>
          <w:sz w:val="28"/>
          <w:szCs w:val="28"/>
          <w:highlight w:val="none"/>
          <w:u w:val="single"/>
        </w:rPr>
        <w:t xml:space="preserve">  （详细地址） </w:t>
      </w:r>
      <w:r>
        <w:rPr>
          <w:rFonts w:hint="eastAsia" w:ascii="仿宋_GB2312" w:eastAsia="仿宋_GB2312" w:hAnsiTheme="majorEastAsia"/>
          <w:color w:val="auto"/>
          <w:sz w:val="28"/>
          <w:szCs w:val="28"/>
          <w:highlight w:val="none"/>
        </w:rPr>
        <w:t>。</w:t>
      </w: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ind w:firstLine="4760" w:firstLineChars="17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u w:val="single"/>
        </w:rPr>
        <w:t xml:space="preserve">（项目名称） </w:t>
      </w:r>
      <w:r>
        <w:rPr>
          <w:rFonts w:hint="eastAsia" w:ascii="仿宋_GB2312" w:eastAsia="仿宋_GB2312" w:hAnsiTheme="majorEastAsia"/>
          <w:color w:val="auto"/>
          <w:sz w:val="28"/>
          <w:szCs w:val="28"/>
          <w:highlight w:val="none"/>
        </w:rPr>
        <w:t>评审小组</w:t>
      </w:r>
    </w:p>
    <w:p>
      <w:pPr>
        <w:adjustRightInd w:val="0"/>
        <w:snapToGrid w:val="0"/>
        <w:spacing w:line="600" w:lineRule="exact"/>
        <w:ind w:firstLine="4760" w:firstLineChars="17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评审小组：</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（签字）</w:t>
      </w:r>
    </w:p>
    <w:p>
      <w:pPr>
        <w:adjustRightInd w:val="0"/>
        <w:snapToGrid w:val="0"/>
        <w:spacing w:line="600" w:lineRule="exact"/>
        <w:ind w:firstLine="5451" w:firstLineChars="1947"/>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adjustRightInd w:val="0"/>
        <w:snapToGrid w:val="0"/>
        <w:spacing w:line="600" w:lineRule="exact"/>
        <w:ind w:firstLine="4779" w:firstLineChars="1700"/>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pStyle w:val="23"/>
        <w:rPr>
          <w:color w:val="auto"/>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Theme="majorEastAsia" w:hAnsiTheme="majorEastAsia" w:eastAsiaTheme="majorEastAsia"/>
          <w:b/>
          <w:color w:val="auto"/>
          <w:sz w:val="28"/>
          <w:szCs w:val="28"/>
          <w:highlight w:val="none"/>
        </w:rPr>
        <w:t>附件3</w:t>
      </w:r>
    </w:p>
    <w:p>
      <w:pPr>
        <w:adjustRightInd w:val="0"/>
        <w:snapToGrid w:val="0"/>
        <w:spacing w:line="600" w:lineRule="exact"/>
        <w:jc w:val="center"/>
        <w:rPr>
          <w:rFonts w:ascii="方正小标宋简体" w:eastAsia="方正小标宋简体" w:hAnsiTheme="majorEastAsia"/>
          <w:color w:val="auto"/>
          <w:sz w:val="32"/>
          <w:szCs w:val="32"/>
          <w:highlight w:val="none"/>
        </w:rPr>
      </w:pPr>
    </w:p>
    <w:p>
      <w:pPr>
        <w:adjustRightInd w:val="0"/>
        <w:snapToGrid w:val="0"/>
        <w:spacing w:line="600" w:lineRule="exact"/>
        <w:jc w:val="center"/>
        <w:rPr>
          <w:rFonts w:ascii="方正小标宋简体" w:eastAsia="方正小标宋简体" w:hAnsiTheme="majorEastAsia"/>
          <w:color w:val="auto"/>
          <w:sz w:val="32"/>
          <w:szCs w:val="32"/>
          <w:highlight w:val="none"/>
        </w:rPr>
      </w:pPr>
      <w:r>
        <w:rPr>
          <w:rFonts w:hint="eastAsia" w:ascii="方正小标宋简体" w:eastAsia="方正小标宋简体" w:hAnsiTheme="majorEastAsia"/>
          <w:color w:val="auto"/>
          <w:sz w:val="32"/>
          <w:szCs w:val="32"/>
          <w:highlight w:val="none"/>
        </w:rPr>
        <w:t>问题的澄清</w:t>
      </w:r>
    </w:p>
    <w:p>
      <w:pPr>
        <w:pStyle w:val="38"/>
        <w:rPr>
          <w:color w:val="auto"/>
          <w:highlight w:val="none"/>
        </w:rPr>
      </w:pP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编号：</w:t>
      </w: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仿宋_GB2312" w:eastAsia="仿宋_GB2312" w:hAnsiTheme="majorEastAsia"/>
          <w:color w:val="auto"/>
          <w:sz w:val="28"/>
          <w:szCs w:val="28"/>
          <w:highlight w:val="none"/>
          <w:u w:val="single"/>
        </w:rPr>
        <w:t>（项目名称）</w:t>
      </w:r>
      <w:r>
        <w:rPr>
          <w:rFonts w:hint="eastAsia" w:ascii="仿宋_GB2312" w:eastAsia="仿宋_GB2312" w:hAnsiTheme="majorEastAsia"/>
          <w:color w:val="auto"/>
          <w:sz w:val="28"/>
          <w:szCs w:val="28"/>
          <w:highlight w:val="none"/>
        </w:rPr>
        <w:t>评审小组：</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问题澄清通知（编号：</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）已收悉，现澄清如下：</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1.</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2.</w:t>
      </w:r>
    </w:p>
    <w:p>
      <w:pPr>
        <w:adjustRightInd w:val="0"/>
        <w:snapToGrid w:val="0"/>
        <w:spacing w:line="600" w:lineRule="exact"/>
        <w:ind w:firstLine="570"/>
        <w:jc w:val="left"/>
        <w:rPr>
          <w:rFonts w:asciiTheme="majorEastAsia" w:hAnsiTheme="majorEastAsia" w:eastAsiaTheme="majorEastAsia"/>
          <w:b/>
          <w:color w:val="auto"/>
          <w:sz w:val="28"/>
          <w:szCs w:val="28"/>
          <w:highlight w:val="none"/>
        </w:rPr>
      </w:pPr>
    </w:p>
    <w:p>
      <w:pPr>
        <w:adjustRightInd w:val="0"/>
        <w:snapToGrid w:val="0"/>
        <w:spacing w:line="600" w:lineRule="exact"/>
        <w:ind w:firstLine="2520" w:firstLineChars="9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供应商：</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（公章）</w:t>
      </w:r>
    </w:p>
    <w:p>
      <w:pPr>
        <w:adjustRightInd w:val="0"/>
        <w:snapToGrid w:val="0"/>
        <w:spacing w:line="600" w:lineRule="exact"/>
        <w:ind w:firstLine="2520" w:firstLineChars="900"/>
        <w:jc w:val="left"/>
        <w:rPr>
          <w:rFonts w:asciiTheme="majorEastAsia" w:hAnsiTheme="majorEastAsia" w:eastAsiaTheme="majorEastAsia"/>
          <w:b/>
          <w:color w:val="auto"/>
          <w:sz w:val="28"/>
          <w:szCs w:val="28"/>
          <w:highlight w:val="none"/>
        </w:rPr>
      </w:pPr>
      <w:r>
        <w:rPr>
          <w:rFonts w:hint="eastAsia" w:ascii="仿宋_GB2312" w:eastAsia="仿宋_GB2312" w:hAnsiTheme="majorEastAsia"/>
          <w:color w:val="auto"/>
          <w:sz w:val="28"/>
          <w:szCs w:val="28"/>
          <w:highlight w:val="none"/>
        </w:rPr>
        <w:t>或</w:t>
      </w:r>
    </w:p>
    <w:p>
      <w:pPr>
        <w:adjustRightInd w:val="0"/>
        <w:snapToGrid w:val="0"/>
        <w:spacing w:line="600" w:lineRule="exact"/>
        <w:ind w:firstLine="2520" w:firstLineChars="9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法定代表人或委托代理人：</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（签字）</w:t>
      </w:r>
    </w:p>
    <w:p>
      <w:pPr>
        <w:adjustRightInd w:val="0"/>
        <w:snapToGrid w:val="0"/>
        <w:spacing w:line="600" w:lineRule="exact"/>
        <w:ind w:firstLine="5451" w:firstLineChars="1947"/>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Theme="majorEastAsia" w:hAnsiTheme="majorEastAsia" w:eastAsiaTheme="majorEastAsia"/>
          <w:b/>
          <w:color w:val="auto"/>
          <w:sz w:val="28"/>
          <w:szCs w:val="28"/>
          <w:highlight w:val="none"/>
        </w:rPr>
        <w:t xml:space="preserve">附件4 </w:t>
      </w:r>
    </w:p>
    <w:p>
      <w:pPr>
        <w:adjustRightInd w:val="0"/>
        <w:snapToGrid w:val="0"/>
        <w:spacing w:line="600" w:lineRule="exact"/>
        <w:jc w:val="center"/>
        <w:rPr>
          <w:rFonts w:ascii="方正小标宋简体" w:eastAsia="方正小标宋简体" w:hAnsiTheme="majorEastAsia"/>
          <w:color w:val="auto"/>
          <w:sz w:val="32"/>
          <w:szCs w:val="32"/>
          <w:highlight w:val="none"/>
        </w:rPr>
      </w:pPr>
    </w:p>
    <w:p>
      <w:pPr>
        <w:adjustRightInd w:val="0"/>
        <w:snapToGrid w:val="0"/>
        <w:spacing w:line="600" w:lineRule="exact"/>
        <w:jc w:val="center"/>
        <w:rPr>
          <w:rFonts w:ascii="方正小标宋简体" w:eastAsia="方正小标宋简体" w:hAnsiTheme="majorEastAsia"/>
          <w:color w:val="auto"/>
          <w:sz w:val="32"/>
          <w:szCs w:val="32"/>
          <w:highlight w:val="none"/>
        </w:rPr>
      </w:pPr>
      <w:r>
        <w:rPr>
          <w:rFonts w:hint="eastAsia" w:ascii="方正小标宋简体" w:eastAsia="方正小标宋简体" w:hAnsiTheme="majorEastAsia"/>
          <w:color w:val="auto"/>
          <w:sz w:val="32"/>
          <w:szCs w:val="32"/>
          <w:highlight w:val="none"/>
        </w:rPr>
        <w:t>成交通知书</w:t>
      </w:r>
    </w:p>
    <w:p>
      <w:pPr>
        <w:pStyle w:val="38"/>
        <w:rPr>
          <w:color w:val="auto"/>
          <w:highlight w:val="none"/>
        </w:rPr>
      </w:pPr>
    </w:p>
    <w:p>
      <w:pPr>
        <w:pStyle w:val="38"/>
        <w:ind w:firstLine="3465" w:firstLineChars="1650"/>
        <w:rPr>
          <w:rFonts w:ascii="仿宋_GB2312" w:eastAsia="仿宋_GB2312"/>
          <w:color w:val="auto"/>
          <w:highlight w:val="none"/>
        </w:rPr>
      </w:pPr>
      <w:r>
        <w:rPr>
          <w:rFonts w:hint="eastAsia" w:ascii="仿宋_GB2312" w:eastAsia="仿宋_GB2312"/>
          <w:color w:val="auto"/>
          <w:highlight w:val="none"/>
        </w:rPr>
        <w:t>（编号：</w:t>
      </w:r>
      <w:r>
        <w:rPr>
          <w:rFonts w:ascii="仿宋_GB2312" w:eastAsia="仿宋_GB2312"/>
          <w:color w:val="auto"/>
          <w:highlight w:val="none"/>
        </w:rPr>
        <w:t xml:space="preserve">        </w:t>
      </w:r>
      <w:r>
        <w:rPr>
          <w:rFonts w:hint="eastAsia" w:ascii="仿宋_GB2312" w:eastAsia="仿宋_GB2312"/>
          <w:color w:val="auto"/>
          <w:highlight w:val="none"/>
        </w:rPr>
        <w:t>）</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u w:val="single"/>
        </w:rPr>
        <w:t xml:space="preserve">   （成交供应商名称）    </w:t>
      </w:r>
      <w:r>
        <w:rPr>
          <w:rFonts w:hint="eastAsia" w:ascii="仿宋_GB2312" w:eastAsia="仿宋_GB2312" w:hAnsiTheme="majorEastAsia"/>
          <w:color w:val="auto"/>
          <w:sz w:val="28"/>
          <w:szCs w:val="28"/>
          <w:highlight w:val="none"/>
        </w:rPr>
        <w:t>：</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你方递交的响应文件已被我方接受，你方已被确认为</w:t>
      </w:r>
      <w:r>
        <w:rPr>
          <w:rFonts w:hint="eastAsia" w:ascii="仿宋_GB2312" w:eastAsia="仿宋_GB2312" w:hAnsiTheme="majorEastAsia"/>
          <w:color w:val="auto"/>
          <w:sz w:val="28"/>
          <w:szCs w:val="28"/>
          <w:highlight w:val="none"/>
          <w:u w:val="single"/>
          <w:lang w:val="en-US" w:eastAsia="zh-CN"/>
        </w:rPr>
        <w:t xml:space="preserve">      项目</w:t>
      </w:r>
      <w:r>
        <w:rPr>
          <w:rFonts w:hint="eastAsia" w:ascii="仿宋_GB2312" w:eastAsia="仿宋_GB2312" w:hAnsiTheme="majorEastAsia"/>
          <w:color w:val="auto"/>
          <w:sz w:val="28"/>
          <w:szCs w:val="28"/>
          <w:highlight w:val="none"/>
          <w:u w:val="none"/>
          <w:lang w:val="en-US" w:eastAsia="zh-CN"/>
        </w:rPr>
        <w:t>的</w:t>
      </w:r>
      <w:r>
        <w:rPr>
          <w:rFonts w:hint="eastAsia" w:ascii="仿宋_GB2312" w:eastAsia="仿宋_GB2312" w:hAnsiTheme="majorEastAsia"/>
          <w:color w:val="auto"/>
          <w:sz w:val="28"/>
          <w:szCs w:val="28"/>
          <w:highlight w:val="none"/>
        </w:rPr>
        <w:t>成交供应商。</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成交金额，大写：</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，小写：</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w:t>
      </w:r>
    </w:p>
    <w:p>
      <w:pPr>
        <w:adjustRightInd w:val="0"/>
        <w:snapToGrid w:val="0"/>
        <w:spacing w:line="600" w:lineRule="exact"/>
        <w:jc w:val="left"/>
        <w:rPr>
          <w:rFonts w:hint="eastAsia" w:ascii="仿宋_GB2312" w:eastAsia="仿宋_GB2312" w:hAnsiTheme="majorEastAsia"/>
          <w:color w:val="auto"/>
          <w:sz w:val="28"/>
          <w:szCs w:val="28"/>
          <w:highlight w:val="none"/>
          <w:lang w:eastAsia="zh-CN"/>
        </w:rPr>
      </w:pPr>
      <w:r>
        <w:rPr>
          <w:rFonts w:hint="eastAsia" w:ascii="仿宋_GB2312" w:eastAsia="仿宋_GB2312" w:hAnsiTheme="majorEastAsia"/>
          <w:color w:val="auto"/>
          <w:sz w:val="28"/>
          <w:szCs w:val="28"/>
          <w:highlight w:val="none"/>
        </w:rPr>
        <w:t>请你方在接到本通知书后的</w:t>
      </w:r>
      <w:r>
        <w:rPr>
          <w:rFonts w:hint="eastAsia" w:ascii="仿宋_GB2312" w:eastAsia="仿宋_GB2312" w:hAnsiTheme="majorEastAsia"/>
          <w:color w:val="auto"/>
          <w:sz w:val="28"/>
          <w:szCs w:val="28"/>
          <w:highlight w:val="none"/>
          <w:u w:val="single"/>
          <w:lang w:val="en-US" w:eastAsia="zh-CN"/>
        </w:rPr>
        <w:t>30</w:t>
      </w:r>
      <w:r>
        <w:rPr>
          <w:rFonts w:hint="eastAsia" w:ascii="仿宋_GB2312" w:eastAsia="仿宋_GB2312" w:hAnsiTheme="majorEastAsia"/>
          <w:color w:val="auto"/>
          <w:sz w:val="28"/>
          <w:szCs w:val="28"/>
          <w:highlight w:val="none"/>
        </w:rPr>
        <w:t>日内与我方签订采购合同，逾期视为自动放弃成交资格</w:t>
      </w:r>
      <w:r>
        <w:rPr>
          <w:rFonts w:hint="eastAsia" w:ascii="仿宋_GB2312" w:eastAsia="仿宋_GB2312" w:hAnsiTheme="majorEastAsia"/>
          <w:color w:val="auto"/>
          <w:sz w:val="28"/>
          <w:szCs w:val="28"/>
          <w:highlight w:val="none"/>
          <w:lang w:eastAsia="zh-CN"/>
        </w:rPr>
        <w:t>。</w:t>
      </w: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ind w:firstLine="4760" w:firstLineChars="17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采购人：</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（公章）</w:t>
      </w:r>
    </w:p>
    <w:p>
      <w:pPr>
        <w:adjustRightInd w:val="0"/>
        <w:snapToGrid w:val="0"/>
        <w:spacing w:line="600" w:lineRule="exact"/>
        <w:ind w:firstLine="5451" w:firstLineChars="1947"/>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hint="eastAsia" w:asciiTheme="majorEastAsia" w:hAnsiTheme="majorEastAsia" w:eastAsiaTheme="majorEastAsia"/>
          <w:b/>
          <w:color w:val="auto"/>
          <w:sz w:val="28"/>
          <w:szCs w:val="28"/>
          <w:highlight w:val="none"/>
        </w:rPr>
      </w:pPr>
    </w:p>
    <w:p>
      <w:pPr>
        <w:adjustRightInd w:val="0"/>
        <w:snapToGrid w:val="0"/>
        <w:spacing w:line="600" w:lineRule="exact"/>
        <w:jc w:val="left"/>
        <w:rPr>
          <w:rFonts w:hint="eastAsia" w:asciiTheme="majorEastAsia" w:hAnsiTheme="majorEastAsia" w:eastAsiaTheme="majorEastAsia"/>
          <w:b/>
          <w:color w:val="auto"/>
          <w:sz w:val="28"/>
          <w:szCs w:val="28"/>
          <w:highlight w:val="none"/>
        </w:rPr>
      </w:pPr>
    </w:p>
    <w:p>
      <w:pPr>
        <w:adjustRightInd w:val="0"/>
        <w:snapToGrid w:val="0"/>
        <w:spacing w:line="600" w:lineRule="exact"/>
        <w:jc w:val="left"/>
        <w:rPr>
          <w:rFonts w:hint="eastAsia"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Theme="majorEastAsia" w:hAnsiTheme="majorEastAsia" w:eastAsiaTheme="majorEastAsia"/>
          <w:b/>
          <w:color w:val="auto"/>
          <w:sz w:val="28"/>
          <w:szCs w:val="28"/>
          <w:highlight w:val="none"/>
        </w:rPr>
        <w:t>附件</w:t>
      </w:r>
      <w:r>
        <w:rPr>
          <w:rFonts w:hint="eastAsia" w:asciiTheme="majorEastAsia" w:hAnsiTheme="majorEastAsia" w:eastAsiaTheme="majorEastAsia"/>
          <w:b/>
          <w:color w:val="auto"/>
          <w:sz w:val="28"/>
          <w:szCs w:val="28"/>
          <w:highlight w:val="none"/>
          <w:lang w:val="en-US" w:eastAsia="zh-CN"/>
        </w:rPr>
        <w:t>5</w:t>
      </w:r>
      <w:r>
        <w:rPr>
          <w:rFonts w:hint="eastAsia" w:asciiTheme="majorEastAsia" w:hAnsiTheme="majorEastAsia" w:eastAsiaTheme="majorEastAsia"/>
          <w:b/>
          <w:color w:val="auto"/>
          <w:sz w:val="28"/>
          <w:szCs w:val="28"/>
          <w:highlight w:val="none"/>
        </w:rPr>
        <w:t xml:space="preserve"> </w:t>
      </w:r>
    </w:p>
    <w:p>
      <w:pPr>
        <w:jc w:val="both"/>
        <w:rPr>
          <w:rFonts w:hint="eastAsia" w:ascii="宋体" w:hAnsi="宋体" w:cs="宋体"/>
          <w:b/>
          <w:bCs/>
          <w:sz w:val="44"/>
          <w:szCs w:val="44"/>
          <w:highlight w:val="none"/>
        </w:rPr>
      </w:pPr>
    </w:p>
    <w:p>
      <w:pPr>
        <w:jc w:val="center"/>
        <w:rPr>
          <w:rFonts w:ascii="宋体" w:hAnsi="宋体" w:cs="宋体"/>
          <w:b/>
          <w:bCs/>
          <w:sz w:val="44"/>
          <w:szCs w:val="44"/>
          <w:highlight w:val="none"/>
        </w:rPr>
      </w:pPr>
      <w:r>
        <w:rPr>
          <w:rFonts w:hint="eastAsia" w:ascii="宋体" w:hAnsi="宋体" w:cs="宋体"/>
          <w:b/>
          <w:bCs/>
          <w:sz w:val="44"/>
          <w:szCs w:val="44"/>
          <w:highlight w:val="none"/>
        </w:rPr>
        <w:t>关于</w:t>
      </w:r>
      <w:r>
        <w:rPr>
          <w:rFonts w:hint="eastAsia" w:ascii="宋体" w:hAnsi="宋体" w:cs="宋体"/>
          <w:b/>
          <w:bCs/>
          <w:sz w:val="44"/>
          <w:szCs w:val="44"/>
          <w:highlight w:val="none"/>
          <w:lang w:val="en-US" w:eastAsia="zh-CN"/>
        </w:rPr>
        <w:t>**</w:t>
      </w:r>
      <w:r>
        <w:rPr>
          <w:rFonts w:ascii="宋体" w:hAnsi="宋体" w:cs="宋体"/>
          <w:b/>
          <w:bCs/>
          <w:sz w:val="44"/>
          <w:szCs w:val="44"/>
          <w:highlight w:val="none"/>
        </w:rPr>
        <w:t>项目异议书</w:t>
      </w:r>
    </w:p>
    <w:p>
      <w:pPr>
        <w:widowControl/>
        <w:spacing w:line="408" w:lineRule="auto"/>
        <w:jc w:val="center"/>
        <w:rPr>
          <w:rFonts w:hAnsi="宋体" w:cs="仿宋_GB2312"/>
          <w:kern w:val="0"/>
          <w:sz w:val="24"/>
          <w:highlight w:val="none"/>
        </w:rPr>
      </w:pPr>
      <w:r>
        <w:rPr>
          <w:rFonts w:hAnsi="宋体" w:cs="仿宋_GB2312"/>
          <w:kern w:val="0"/>
          <w:sz w:val="24"/>
          <w:highlight w:val="none"/>
        </w:rPr>
        <w:t>(参考格式)</w:t>
      </w:r>
    </w:p>
    <w:p>
      <w:pPr>
        <w:rPr>
          <w:kern w:val="0"/>
          <w:sz w:val="28"/>
          <w:szCs w:val="28"/>
          <w:highlight w:val="none"/>
        </w:rPr>
      </w:pPr>
      <w:r>
        <w:rPr>
          <w:rFonts w:hint="eastAsia"/>
          <w:kern w:val="0"/>
          <w:sz w:val="28"/>
          <w:szCs w:val="28"/>
          <w:highlight w:val="none"/>
        </w:rPr>
        <w:t>项目名称：</w:t>
      </w:r>
    </w:p>
    <w:p>
      <w:pPr>
        <w:widowControl/>
        <w:jc w:val="left"/>
        <w:rPr>
          <w:rFonts w:hAnsi="宋体" w:cs="宋体"/>
          <w:kern w:val="0"/>
          <w:sz w:val="28"/>
          <w:szCs w:val="28"/>
          <w:highlight w:val="none"/>
        </w:rPr>
      </w:pPr>
      <w:r>
        <w:rPr>
          <w:rFonts w:hint="eastAsia" w:hAnsi="宋体" w:cs="仿宋_GB2312"/>
          <w:bCs/>
          <w:kern w:val="0"/>
          <w:sz w:val="28"/>
          <w:szCs w:val="28"/>
          <w:highlight w:val="none"/>
        </w:rPr>
        <w:t>异议人：</w:t>
      </w:r>
    </w:p>
    <w:p>
      <w:pPr>
        <w:widowControl/>
        <w:jc w:val="left"/>
        <w:rPr>
          <w:rFonts w:hAnsi="宋体" w:cs="宋体"/>
          <w:kern w:val="0"/>
          <w:sz w:val="28"/>
          <w:szCs w:val="28"/>
          <w:highlight w:val="none"/>
        </w:rPr>
      </w:pPr>
      <w:r>
        <w:rPr>
          <w:rFonts w:hint="eastAsia" w:hAnsi="宋体" w:cs="仿宋_GB2312"/>
          <w:kern w:val="0"/>
          <w:sz w:val="28"/>
          <w:szCs w:val="28"/>
          <w:highlight w:val="none"/>
        </w:rPr>
        <w:t>住所地：</w:t>
      </w:r>
      <w:r>
        <w:rPr>
          <w:rFonts w:hint="eastAsia" w:hAnsi="宋体" w:cs="仿宋_GB2312"/>
          <w:kern w:val="0"/>
          <w:sz w:val="28"/>
          <w:szCs w:val="28"/>
          <w:highlight w:val="none"/>
          <w:lang w:val="en-US" w:eastAsia="zh-CN"/>
        </w:rPr>
        <w:t xml:space="preserve">   </w:t>
      </w:r>
      <w:r>
        <w:rPr>
          <w:rFonts w:hAnsi="宋体" w:cs="仿宋_GB2312"/>
          <w:kern w:val="0"/>
          <w:sz w:val="28"/>
          <w:szCs w:val="28"/>
          <w:highlight w:val="none"/>
        </w:rPr>
        <w:t xml:space="preserve"> 邮编：</w:t>
      </w:r>
    </w:p>
    <w:p>
      <w:pPr>
        <w:widowControl/>
        <w:jc w:val="left"/>
        <w:rPr>
          <w:rFonts w:hint="eastAsia" w:hAnsi="宋体" w:eastAsia="宋体" w:cs="宋体"/>
          <w:kern w:val="0"/>
          <w:sz w:val="28"/>
          <w:szCs w:val="28"/>
          <w:highlight w:val="none"/>
          <w:lang w:eastAsia="zh-CN"/>
        </w:rPr>
      </w:pPr>
      <w:r>
        <w:rPr>
          <w:rFonts w:hint="eastAsia" w:hAnsi="宋体" w:cs="仿宋_GB2312"/>
          <w:kern w:val="0"/>
          <w:sz w:val="28"/>
          <w:szCs w:val="28"/>
          <w:highlight w:val="none"/>
        </w:rPr>
        <w:t>法定代表人：</w:t>
      </w:r>
      <w:r>
        <w:rPr>
          <w:rFonts w:hint="eastAsia" w:hAnsi="宋体" w:cs="仿宋_GB2312"/>
          <w:kern w:val="0"/>
          <w:sz w:val="28"/>
          <w:szCs w:val="28"/>
          <w:highlight w:val="none"/>
          <w:lang w:val="en-US" w:eastAsia="zh-CN"/>
        </w:rPr>
        <w:t xml:space="preserve">      </w:t>
      </w:r>
      <w:r>
        <w:rPr>
          <w:rFonts w:hint="eastAsia" w:hAnsi="宋体" w:cs="仿宋_GB2312"/>
          <w:kern w:val="0"/>
          <w:sz w:val="28"/>
          <w:szCs w:val="28"/>
          <w:highlight w:val="none"/>
        </w:rPr>
        <w:t>联系电话</w:t>
      </w:r>
      <w:r>
        <w:rPr>
          <w:rFonts w:hint="eastAsia" w:hAnsi="宋体" w:cs="仿宋_GB2312"/>
          <w:kern w:val="0"/>
          <w:sz w:val="28"/>
          <w:szCs w:val="28"/>
          <w:highlight w:val="none"/>
          <w:lang w:eastAsia="zh-CN"/>
        </w:rPr>
        <w:t>：</w:t>
      </w:r>
    </w:p>
    <w:p>
      <w:pPr>
        <w:widowControl/>
        <w:jc w:val="left"/>
        <w:rPr>
          <w:rFonts w:hAnsi="宋体" w:cs="宋体"/>
          <w:kern w:val="0"/>
          <w:sz w:val="28"/>
          <w:szCs w:val="28"/>
          <w:highlight w:val="none"/>
        </w:rPr>
      </w:pPr>
      <w:r>
        <w:rPr>
          <w:rFonts w:hint="eastAsia" w:hAnsi="宋体" w:cs="仿宋_GB2312"/>
          <w:kern w:val="0"/>
          <w:sz w:val="28"/>
          <w:szCs w:val="28"/>
          <w:highlight w:val="none"/>
        </w:rPr>
        <w:t>异议人授权代表：</w:t>
      </w:r>
      <w:r>
        <w:rPr>
          <w:rFonts w:hint="eastAsia" w:hAnsi="宋体" w:cs="仿宋_GB2312"/>
          <w:kern w:val="0"/>
          <w:sz w:val="28"/>
          <w:szCs w:val="28"/>
          <w:highlight w:val="none"/>
          <w:lang w:val="en-US" w:eastAsia="zh-CN"/>
        </w:rPr>
        <w:t xml:space="preserve">   </w:t>
      </w:r>
      <w:r>
        <w:rPr>
          <w:rFonts w:hAnsi="宋体" w:cs="仿宋_GB2312"/>
          <w:kern w:val="0"/>
          <w:sz w:val="28"/>
          <w:szCs w:val="28"/>
          <w:highlight w:val="none"/>
        </w:rPr>
        <w:t xml:space="preserve"> 性别：</w:t>
      </w:r>
    </w:p>
    <w:p>
      <w:pPr>
        <w:widowControl/>
        <w:jc w:val="left"/>
        <w:rPr>
          <w:rFonts w:hAnsi="宋体" w:cs="宋体"/>
          <w:kern w:val="0"/>
          <w:sz w:val="28"/>
          <w:szCs w:val="28"/>
          <w:highlight w:val="none"/>
        </w:rPr>
      </w:pPr>
      <w:r>
        <w:rPr>
          <w:rFonts w:hint="eastAsia" w:hAnsi="宋体" w:cs="仿宋_GB2312"/>
          <w:kern w:val="0"/>
          <w:sz w:val="28"/>
          <w:szCs w:val="28"/>
          <w:highlight w:val="none"/>
        </w:rPr>
        <w:t>住址：</w:t>
      </w:r>
      <w:r>
        <w:rPr>
          <w:rFonts w:hint="eastAsia" w:hAnsi="宋体" w:cs="仿宋_GB2312"/>
          <w:kern w:val="0"/>
          <w:sz w:val="28"/>
          <w:szCs w:val="28"/>
          <w:highlight w:val="none"/>
          <w:lang w:val="en-US" w:eastAsia="zh-CN"/>
        </w:rPr>
        <w:t xml:space="preserve">             </w:t>
      </w:r>
      <w:r>
        <w:rPr>
          <w:rFonts w:hint="eastAsia" w:hAnsi="宋体" w:cs="仿宋_GB2312"/>
          <w:kern w:val="0"/>
          <w:sz w:val="28"/>
          <w:szCs w:val="28"/>
          <w:highlight w:val="none"/>
        </w:rPr>
        <w:t>联系电话：</w:t>
      </w:r>
    </w:p>
    <w:p>
      <w:pPr>
        <w:widowControl/>
        <w:jc w:val="left"/>
        <w:rPr>
          <w:rFonts w:hAnsi="宋体" w:cs="宋体"/>
          <w:kern w:val="0"/>
          <w:sz w:val="28"/>
          <w:szCs w:val="28"/>
          <w:highlight w:val="none"/>
        </w:rPr>
      </w:pPr>
      <w:r>
        <w:rPr>
          <w:rFonts w:hint="eastAsia" w:hAnsi="宋体" w:cs="仿宋_GB2312"/>
          <w:bCs/>
          <w:kern w:val="0"/>
          <w:sz w:val="28"/>
          <w:szCs w:val="28"/>
          <w:highlight w:val="none"/>
        </w:rPr>
        <w:t>提起异议事项的基本事实：</w:t>
      </w:r>
    </w:p>
    <w:p>
      <w:pPr>
        <w:widowControl/>
        <w:jc w:val="left"/>
        <w:rPr>
          <w:rFonts w:hAnsi="宋体" w:cs="宋体"/>
          <w:kern w:val="0"/>
          <w:sz w:val="28"/>
          <w:szCs w:val="28"/>
          <w:highlight w:val="none"/>
        </w:rPr>
      </w:pPr>
    </w:p>
    <w:p>
      <w:pPr>
        <w:widowControl/>
        <w:jc w:val="left"/>
        <w:rPr>
          <w:rFonts w:hAnsi="宋体" w:cs="宋体"/>
          <w:kern w:val="0"/>
          <w:sz w:val="28"/>
          <w:szCs w:val="28"/>
          <w:highlight w:val="none"/>
        </w:rPr>
      </w:pPr>
      <w:r>
        <w:rPr>
          <w:rFonts w:hint="eastAsia" w:hAnsi="宋体" w:cs="仿宋_GB2312"/>
          <w:bCs/>
          <w:kern w:val="0"/>
          <w:sz w:val="28"/>
          <w:szCs w:val="28"/>
          <w:highlight w:val="none"/>
        </w:rPr>
        <w:t>相关请求及主张：</w:t>
      </w:r>
    </w:p>
    <w:p>
      <w:pPr>
        <w:widowControl/>
        <w:jc w:val="left"/>
        <w:rPr>
          <w:rFonts w:hAnsi="宋体" w:cs="仿宋_GB2312"/>
          <w:kern w:val="0"/>
          <w:sz w:val="28"/>
          <w:szCs w:val="28"/>
          <w:highlight w:val="none"/>
          <w:u w:val="single"/>
        </w:rPr>
      </w:pPr>
    </w:p>
    <w:p>
      <w:pPr>
        <w:widowControl/>
        <w:jc w:val="left"/>
        <w:rPr>
          <w:rFonts w:hAnsi="宋体" w:cs="宋体"/>
          <w:kern w:val="0"/>
          <w:sz w:val="28"/>
          <w:szCs w:val="28"/>
          <w:highlight w:val="none"/>
        </w:rPr>
      </w:pPr>
      <w:r>
        <w:rPr>
          <w:rFonts w:hint="eastAsia" w:hAnsi="宋体" w:cs="仿宋_GB2312"/>
          <w:bCs/>
          <w:kern w:val="0"/>
          <w:sz w:val="28"/>
          <w:szCs w:val="28"/>
          <w:highlight w:val="none"/>
        </w:rPr>
        <w:t>有效线索和相关证明材料：</w:t>
      </w:r>
    </w:p>
    <w:p>
      <w:pPr>
        <w:widowControl/>
        <w:jc w:val="left"/>
        <w:rPr>
          <w:rFonts w:hAnsi="宋体" w:cs="仿宋_GB2312"/>
          <w:kern w:val="0"/>
          <w:sz w:val="28"/>
          <w:szCs w:val="28"/>
          <w:highlight w:val="none"/>
          <w:u w:val="single"/>
        </w:rPr>
      </w:pPr>
    </w:p>
    <w:p>
      <w:pPr>
        <w:widowControl/>
        <w:jc w:val="left"/>
        <w:rPr>
          <w:rFonts w:hAnsi="宋体" w:cs="宋体"/>
          <w:kern w:val="0"/>
          <w:sz w:val="28"/>
          <w:szCs w:val="28"/>
          <w:highlight w:val="none"/>
        </w:rPr>
      </w:pPr>
      <w:r>
        <w:rPr>
          <w:rFonts w:hint="eastAsia" w:hAnsi="宋体" w:cs="仿宋_GB2312"/>
          <w:bCs/>
          <w:kern w:val="0"/>
          <w:sz w:val="28"/>
          <w:szCs w:val="28"/>
          <w:highlight w:val="none"/>
        </w:rPr>
        <w:t>异议提起人与项目有利害关系的证明材料（见说明）：</w:t>
      </w:r>
    </w:p>
    <w:p>
      <w:pPr>
        <w:widowControl/>
        <w:jc w:val="left"/>
        <w:rPr>
          <w:rFonts w:hAnsi="宋体" w:cs="宋体"/>
          <w:kern w:val="0"/>
          <w:sz w:val="28"/>
          <w:szCs w:val="28"/>
          <w:highlight w:val="none"/>
        </w:rPr>
      </w:pPr>
      <w:r>
        <w:rPr>
          <w:rFonts w:hAnsi="宋体" w:cs="仿宋_GB2312"/>
          <w:kern w:val="0"/>
          <w:sz w:val="28"/>
          <w:szCs w:val="28"/>
          <w:highlight w:val="none"/>
        </w:rPr>
        <w:t xml:space="preserve">  此致</w:t>
      </w:r>
    </w:p>
    <w:p>
      <w:pPr>
        <w:widowControl/>
        <w:jc w:val="left"/>
        <w:rPr>
          <w:rFonts w:hAnsi="宋体" w:cs="宋体"/>
          <w:kern w:val="0"/>
          <w:sz w:val="28"/>
          <w:szCs w:val="28"/>
          <w:highlight w:val="none"/>
        </w:rPr>
      </w:pPr>
      <w:r>
        <w:rPr>
          <w:rFonts w:hint="eastAsia" w:hAnsi="宋体" w:cs="仿宋_GB2312"/>
          <w:kern w:val="0"/>
          <w:sz w:val="28"/>
          <w:szCs w:val="28"/>
          <w:highlight w:val="none"/>
          <w:u w:val="single"/>
        </w:rPr>
        <w:t>（采购人）</w:t>
      </w:r>
    </w:p>
    <w:p>
      <w:pPr>
        <w:widowControl/>
        <w:ind w:left="99" w:leftChars="47" w:firstLine="2800" w:firstLineChars="1000"/>
        <w:jc w:val="left"/>
        <w:rPr>
          <w:rFonts w:hAnsi="宋体" w:cs="仿宋_GB2312"/>
          <w:kern w:val="0"/>
          <w:sz w:val="28"/>
          <w:szCs w:val="28"/>
          <w:highlight w:val="none"/>
        </w:rPr>
      </w:pPr>
    </w:p>
    <w:p>
      <w:pPr>
        <w:widowControl/>
        <w:ind w:left="99" w:leftChars="47" w:firstLine="2800" w:firstLineChars="1000"/>
        <w:jc w:val="left"/>
        <w:rPr>
          <w:rFonts w:hAnsi="宋体" w:cs="仿宋_GB2312"/>
          <w:kern w:val="0"/>
          <w:sz w:val="28"/>
          <w:szCs w:val="28"/>
          <w:highlight w:val="none"/>
        </w:rPr>
      </w:pPr>
    </w:p>
    <w:p>
      <w:pPr>
        <w:widowControl/>
        <w:ind w:left="99" w:leftChars="47" w:firstLine="2800" w:firstLineChars="1000"/>
        <w:jc w:val="left"/>
        <w:rPr>
          <w:rFonts w:hAnsi="宋体" w:cs="宋体"/>
          <w:kern w:val="0"/>
          <w:sz w:val="28"/>
          <w:szCs w:val="28"/>
          <w:highlight w:val="none"/>
        </w:rPr>
      </w:pPr>
      <w:r>
        <w:rPr>
          <w:rFonts w:hint="eastAsia" w:hAnsi="宋体" w:cs="仿宋_GB2312"/>
          <w:kern w:val="0"/>
          <w:sz w:val="28"/>
          <w:szCs w:val="28"/>
          <w:highlight w:val="none"/>
        </w:rPr>
        <w:t>异议人（公章）：</w:t>
      </w:r>
    </w:p>
    <w:p>
      <w:pPr>
        <w:widowControl/>
        <w:ind w:left="99" w:leftChars="47" w:firstLine="1960" w:firstLineChars="700"/>
        <w:jc w:val="left"/>
        <w:rPr>
          <w:rFonts w:hAnsi="宋体" w:cs="仿宋_GB2312"/>
          <w:kern w:val="0"/>
          <w:sz w:val="28"/>
          <w:szCs w:val="28"/>
          <w:highlight w:val="none"/>
        </w:rPr>
      </w:pPr>
    </w:p>
    <w:p>
      <w:pPr>
        <w:widowControl/>
        <w:ind w:left="99" w:leftChars="47" w:firstLine="1960" w:firstLineChars="700"/>
        <w:jc w:val="left"/>
        <w:rPr>
          <w:rFonts w:hAnsi="宋体" w:cs="仿宋_GB2312"/>
          <w:kern w:val="0"/>
          <w:sz w:val="28"/>
          <w:szCs w:val="28"/>
          <w:highlight w:val="none"/>
          <w:u w:val="single"/>
        </w:rPr>
      </w:pPr>
      <w:r>
        <w:rPr>
          <w:rFonts w:hint="eastAsia" w:hAnsi="宋体" w:cs="仿宋_GB2312"/>
          <w:kern w:val="0"/>
          <w:sz w:val="28"/>
          <w:szCs w:val="28"/>
          <w:highlight w:val="none"/>
        </w:rPr>
        <w:t>法定代表人或授权代表（签字）</w:t>
      </w:r>
    </w:p>
    <w:p>
      <w:pPr>
        <w:widowControl/>
        <w:ind w:left="99" w:leftChars="47" w:firstLine="1960" w:firstLineChars="700"/>
        <w:jc w:val="left"/>
        <w:rPr>
          <w:rFonts w:hAnsi="宋体" w:cs="仿宋_GB2312"/>
          <w:kern w:val="0"/>
          <w:sz w:val="28"/>
          <w:szCs w:val="28"/>
          <w:highlight w:val="none"/>
          <w:u w:val="single"/>
        </w:rPr>
      </w:pPr>
    </w:p>
    <w:p>
      <w:pPr>
        <w:widowControl/>
        <w:ind w:firstLine="560" w:firstLineChars="200"/>
        <w:jc w:val="center"/>
        <w:rPr>
          <w:rFonts w:hAnsi="宋体" w:cs="宋体"/>
          <w:kern w:val="0"/>
          <w:sz w:val="28"/>
          <w:szCs w:val="28"/>
          <w:highlight w:val="none"/>
        </w:rPr>
      </w:pPr>
      <w:r>
        <w:rPr>
          <w:rFonts w:hAnsi="宋体" w:cs="仿宋_GB2312"/>
          <w:kern w:val="0"/>
          <w:sz w:val="28"/>
          <w:szCs w:val="28"/>
          <w:highlight w:val="none"/>
        </w:rPr>
        <w:t xml:space="preserve">                                     年    月   日</w:t>
      </w:r>
    </w:p>
    <w:p>
      <w:pPr>
        <w:widowControl/>
        <w:jc w:val="left"/>
        <w:rPr>
          <w:rFonts w:hAnsi="宋体" w:cs="仿宋_GB2312"/>
          <w:bCs/>
          <w:kern w:val="0"/>
          <w:sz w:val="24"/>
          <w:highlight w:val="none"/>
        </w:rPr>
      </w:pPr>
    </w:p>
    <w:p>
      <w:pPr>
        <w:rPr>
          <w:rFonts w:hAnsi="仿宋"/>
          <w:sz w:val="24"/>
          <w:highlight w:val="none"/>
        </w:rPr>
      </w:pPr>
      <w:r>
        <w:rPr>
          <w:rFonts w:hint="eastAsia" w:hAnsi="仿宋"/>
          <w:sz w:val="24"/>
          <w:highlight w:val="none"/>
        </w:rPr>
        <w:t>说明：</w:t>
      </w:r>
    </w:p>
    <w:p>
      <w:pPr>
        <w:rPr>
          <w:rFonts w:hAnsi="仿宋"/>
          <w:sz w:val="24"/>
          <w:highlight w:val="none"/>
        </w:rPr>
      </w:pPr>
    </w:p>
    <w:p>
      <w:pPr>
        <w:rPr>
          <w:rFonts w:hAnsi="仿宋"/>
          <w:sz w:val="24"/>
          <w:highlight w:val="none"/>
        </w:rPr>
      </w:pPr>
      <w:r>
        <w:rPr>
          <w:rFonts w:hAnsi="仿宋"/>
          <w:sz w:val="24"/>
          <w:highlight w:val="none"/>
        </w:rPr>
        <w:t>1.异议提起人是法人的，异议书必须由其法定代表人或者授权代表签字并盖章；其他组织或者自然人提出异议的，异议书必须由其主要负责人或者异议提起人本人签字，并附有效身份证明复印件。</w:t>
      </w:r>
    </w:p>
    <w:p>
      <w:pPr>
        <w:rPr>
          <w:rFonts w:hAnsi="仿宋"/>
          <w:sz w:val="24"/>
          <w:highlight w:val="none"/>
        </w:rPr>
      </w:pPr>
      <w:r>
        <w:rPr>
          <w:rFonts w:hAnsi="仿宋"/>
          <w:sz w:val="24"/>
          <w:highlight w:val="none"/>
        </w:rPr>
        <w:t>2.异议提起人可以自己直接提交异议书，也可以委托代理人办理异议事务。代理人办理异议事务时，应当将授权委托书连同异议书一并提交给招标人。授权委托书应当明确有关委托代理权限和事项。</w:t>
      </w:r>
    </w:p>
    <w:p>
      <w:pPr>
        <w:rPr>
          <w:rFonts w:hAnsi="仿宋"/>
          <w:sz w:val="24"/>
          <w:highlight w:val="none"/>
        </w:rPr>
      </w:pPr>
      <w:r>
        <w:rPr>
          <w:rFonts w:hAnsi="仿宋"/>
          <w:sz w:val="24"/>
          <w:highlight w:val="none"/>
        </w:rPr>
        <w:t>3.为证明与异议项目有利害关系，投标人以外的其他异议提起人应当提供相应证明材料：</w:t>
      </w:r>
    </w:p>
    <w:p>
      <w:pPr>
        <w:rPr>
          <w:rFonts w:hAnsi="仿宋"/>
          <w:sz w:val="24"/>
          <w:highlight w:val="none"/>
        </w:rPr>
      </w:pPr>
      <w:r>
        <w:rPr>
          <w:rFonts w:hint="eastAsia" w:hAnsi="仿宋"/>
          <w:sz w:val="24"/>
          <w:highlight w:val="none"/>
        </w:rPr>
        <w:t>（</w:t>
      </w:r>
      <w:r>
        <w:rPr>
          <w:rFonts w:hAnsi="仿宋"/>
          <w:sz w:val="24"/>
          <w:highlight w:val="none"/>
        </w:rPr>
        <w:t>1）属潜在投标人的，提交符合法定有关资格要求的证明文件；</w:t>
      </w:r>
    </w:p>
    <w:p>
      <w:pPr>
        <w:rPr>
          <w:rFonts w:hAnsi="仿宋"/>
          <w:sz w:val="24"/>
          <w:highlight w:val="none"/>
        </w:rPr>
      </w:pPr>
      <w:r>
        <w:rPr>
          <w:rFonts w:hint="eastAsia" w:hAnsi="仿宋"/>
          <w:sz w:val="24"/>
          <w:highlight w:val="none"/>
        </w:rPr>
        <w:t>（</w:t>
      </w:r>
      <w:r>
        <w:rPr>
          <w:rFonts w:hAnsi="仿宋"/>
          <w:sz w:val="24"/>
          <w:highlight w:val="none"/>
        </w:rPr>
        <w:t>2）属特定分包人或者供应商的，提交证明其与该项目投标人绑定投标的附条件生效协议以及能证明其能履行该协议项下的合同义务的能力的证明文件。</w:t>
      </w:r>
      <w:r>
        <w:rPr>
          <w:rFonts w:hAnsi="仿宋"/>
          <w:sz w:val="24"/>
          <w:highlight w:val="none"/>
        </w:rPr>
        <w:tab/>
      </w:r>
    </w:p>
    <w:p>
      <w:pPr>
        <w:rPr>
          <w:rFonts w:hAnsi="仿宋"/>
          <w:sz w:val="24"/>
          <w:highlight w:val="none"/>
        </w:rPr>
      </w:pPr>
      <w:r>
        <w:rPr>
          <w:rFonts w:hint="eastAsia" w:hAnsi="仿宋"/>
          <w:sz w:val="24"/>
          <w:highlight w:val="none"/>
        </w:rPr>
        <w:t>（</w:t>
      </w:r>
      <w:r>
        <w:rPr>
          <w:rFonts w:hAnsi="仿宋"/>
          <w:sz w:val="24"/>
          <w:highlight w:val="none"/>
        </w:rPr>
        <w:t>3）可证明与异议项目有利害关系的其他证明文件。</w:t>
      </w:r>
    </w:p>
    <w:p>
      <w:pPr>
        <w:pStyle w:val="23"/>
        <w:rPr>
          <w:rFonts w:ascii="仿宋_GB2312" w:eastAsia="仿宋_GB2312"/>
          <w:color w:val="auto"/>
          <w:sz w:val="28"/>
          <w:szCs w:val="28"/>
          <w:highlight w:val="none"/>
        </w:rPr>
      </w:pPr>
    </w:p>
    <w:p>
      <w:pPr>
        <w:pStyle w:val="23"/>
        <w:rPr>
          <w:rFonts w:ascii="仿宋_GB2312" w:eastAsia="仿宋_GB2312"/>
          <w:color w:val="auto"/>
          <w:sz w:val="28"/>
          <w:szCs w:val="28"/>
          <w:highlight w:val="none"/>
        </w:rPr>
      </w:pPr>
    </w:p>
    <w:p>
      <w:pPr>
        <w:pStyle w:val="23"/>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pStyle w:val="3"/>
        <w:rPr>
          <w:rFonts w:hint="eastAsia" w:asciiTheme="minorHAnsi" w:hAnsiTheme="minorHAnsi" w:cstheme="minorBidi"/>
          <w:color w:val="auto"/>
          <w:kern w:val="44"/>
          <w:sz w:val="44"/>
          <w:szCs w:val="44"/>
          <w:highlight w:val="none"/>
        </w:rPr>
      </w:pPr>
      <w:bookmarkStart w:id="26" w:name="_Toc2867"/>
      <w:bookmarkStart w:id="27" w:name="_Toc21455"/>
      <w:r>
        <w:rPr>
          <w:rFonts w:hint="eastAsia" w:asciiTheme="minorHAnsi" w:hAnsiTheme="minorHAnsi" w:cstheme="minorBidi"/>
          <w:color w:val="auto"/>
          <w:kern w:val="44"/>
          <w:sz w:val="44"/>
          <w:szCs w:val="44"/>
          <w:highlight w:val="none"/>
        </w:rPr>
        <mc:AlternateContent>
          <mc:Choice Requires="wps">
            <w:drawing>
              <wp:anchor distT="0" distB="0" distL="114300" distR="114300" simplePos="0" relativeHeight="251660288" behindDoc="0" locked="0" layoutInCell="1" allowOverlap="1">
                <wp:simplePos x="0" y="0"/>
                <wp:positionH relativeFrom="column">
                  <wp:posOffset>2318385</wp:posOffset>
                </wp:positionH>
                <wp:positionV relativeFrom="paragraph">
                  <wp:posOffset>687705</wp:posOffset>
                </wp:positionV>
                <wp:extent cx="958850" cy="0"/>
                <wp:effectExtent l="0" t="0" r="0" b="0"/>
                <wp:wrapNone/>
                <wp:docPr id="2" name="自选图形 5"/>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5" o:spid="_x0000_s1026" o:spt="32" type="#_x0000_t32" style="position:absolute;left:0pt;margin-left:182.55pt;margin-top:54.15pt;height:0pt;width:75.5pt;z-index:251660288;mso-width-relative:page;mso-height-relative:page;" filled="f" stroked="t" coordsize="21600,21600" o:gfxdata="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2kmKddYAAAALAQAADwAAAAAAAAABACAAAAAiAAAAZHJzL2Rvd25yZXYueG1sUEsBAhQAFAAA&#10;AAgAh07iQLRtirXxAQAA4gMAAA4AAAAAAAAAAQAgAAAAJQEAAGRycy9lMm9Eb2MueG1sUEsFBgAA&#10;AAAGAAYAWQEAAIgFAAAAAA==&#10;">
                <v:fill on="f" focussize="0,0"/>
                <v:stroke color="#000000" joinstyle="round"/>
                <v:imagedata o:title=""/>
                <o:lock v:ext="edit" aspectratio="f"/>
              </v:shape>
            </w:pict>
          </mc:Fallback>
        </mc:AlternateContent>
      </w:r>
      <w:r>
        <w:rPr>
          <w:rFonts w:hint="eastAsia" w:asciiTheme="minorHAnsi" w:hAnsiTheme="minorHAnsi" w:cstheme="minorBidi"/>
          <w:color w:val="auto"/>
          <w:kern w:val="44"/>
          <w:sz w:val="44"/>
          <w:szCs w:val="44"/>
          <w:highlight w:val="none"/>
        </w:rPr>
        <mc:AlternateContent>
          <mc:Choice Requires="wps">
            <w:drawing>
              <wp:anchor distT="0" distB="0" distL="114300" distR="114300" simplePos="0" relativeHeight="251659264" behindDoc="0" locked="0" layoutInCell="1" allowOverlap="1">
                <wp:simplePos x="0" y="0"/>
                <wp:positionH relativeFrom="column">
                  <wp:posOffset>2325370</wp:posOffset>
                </wp:positionH>
                <wp:positionV relativeFrom="paragraph">
                  <wp:posOffset>137795</wp:posOffset>
                </wp:positionV>
                <wp:extent cx="958850" cy="0"/>
                <wp:effectExtent l="0" t="0" r="0" b="0"/>
                <wp:wrapNone/>
                <wp:docPr id="1" name="自选图形 3"/>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3" o:spid="_x0000_s1026" o:spt="32" type="#_x0000_t32" style="position:absolute;left:0pt;margin-left:183.1pt;margin-top:10.85pt;height:0pt;width:75.5pt;z-index:251659264;mso-width-relative:page;mso-height-relative:page;" filled="f" stroked="t" coordsize="21600,21600" o:gfxdata="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8C0PytYAAAAJAQAADwAAAAAAAAABACAAAAAiAAAAZHJzL2Rvd25yZXYueG1sUEsBAhQAFAAA&#10;AAgAh07iQBcgxbnxAQAA4gMAAA4AAAAAAAAAAQAgAAAAJQEAAGRycy9lMm9Eb2MueG1sUEsFBgAA&#10;AAAGAAYAWQEAAIgFAAAAAA==&#10;">
                <v:fill on="f" focussize="0,0"/>
                <v:stroke color="#000000" joinstyle="round"/>
                <v:imagedata o:title=""/>
                <o:lock v:ext="edit" aspectratio="f"/>
              </v:shape>
            </w:pict>
          </mc:Fallback>
        </mc:AlternateContent>
      </w:r>
      <w:r>
        <w:rPr>
          <w:rFonts w:hint="eastAsia" w:asciiTheme="minorHAnsi" w:hAnsiTheme="minorHAnsi" w:cstheme="minorBidi"/>
          <w:color w:val="auto"/>
          <w:kern w:val="44"/>
          <w:sz w:val="44"/>
          <w:szCs w:val="44"/>
          <w:highlight w:val="none"/>
        </w:rPr>
        <w:t>第</w:t>
      </w:r>
      <w:r>
        <w:rPr>
          <w:rFonts w:hint="eastAsia" w:asciiTheme="minorHAnsi" w:hAnsiTheme="minorHAnsi" w:cstheme="minorBidi"/>
          <w:color w:val="auto"/>
          <w:kern w:val="44"/>
          <w:sz w:val="44"/>
          <w:szCs w:val="44"/>
          <w:highlight w:val="none"/>
          <w:lang w:eastAsia="zh-CN"/>
        </w:rPr>
        <w:t>三</w:t>
      </w:r>
      <w:r>
        <w:rPr>
          <w:rFonts w:hint="eastAsia" w:asciiTheme="minorHAnsi" w:hAnsiTheme="minorHAnsi" w:cstheme="minorBidi"/>
          <w:color w:val="auto"/>
          <w:kern w:val="44"/>
          <w:sz w:val="44"/>
          <w:szCs w:val="44"/>
          <w:highlight w:val="none"/>
        </w:rPr>
        <w:t>章</w:t>
      </w:r>
      <w:bookmarkEnd w:id="26"/>
      <w:bookmarkEnd w:id="27"/>
    </w:p>
    <w:p>
      <w:pPr>
        <w:pStyle w:val="38"/>
        <w:rPr>
          <w:color w:val="auto"/>
          <w:highlight w:val="none"/>
        </w:rPr>
      </w:pPr>
    </w:p>
    <w:p>
      <w:pPr>
        <w:pStyle w:val="3"/>
        <w:rPr>
          <w:color w:val="auto"/>
          <w:highlight w:val="none"/>
        </w:rPr>
      </w:pPr>
      <w:bookmarkStart w:id="28" w:name="_Toc88209934"/>
      <w:bookmarkStart w:id="29" w:name="_Toc7303"/>
      <w:bookmarkStart w:id="30" w:name="_Toc87616371"/>
      <w:bookmarkStart w:id="31" w:name="_Toc7040"/>
      <w:r>
        <w:rPr>
          <w:rFonts w:hint="eastAsia"/>
          <w:color w:val="auto"/>
          <w:highlight w:val="none"/>
        </w:rPr>
        <w:t>采购方法</w:t>
      </w:r>
      <w:bookmarkEnd w:id="28"/>
      <w:bookmarkEnd w:id="29"/>
      <w:bookmarkEnd w:id="30"/>
      <w:bookmarkEnd w:id="31"/>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ind w:firstLine="0"/>
        <w:rPr>
          <w:rFonts w:ascii="方正小标宋简体" w:eastAsia="方正小标宋简体"/>
          <w:color w:val="auto"/>
          <w:sz w:val="44"/>
          <w:szCs w:val="44"/>
          <w:highlight w:val="none"/>
        </w:rPr>
      </w:pPr>
    </w:p>
    <w:p>
      <w:pPr>
        <w:pStyle w:val="3"/>
        <w:rPr>
          <w:color w:val="auto"/>
          <w:highlight w:val="none"/>
        </w:rPr>
      </w:pPr>
      <w:bookmarkStart w:id="32" w:name="_Toc3789"/>
      <w:bookmarkStart w:id="33" w:name="_Toc24895"/>
      <w:r>
        <w:rPr>
          <w:rFonts w:hint="eastAsia"/>
          <w:color w:val="auto"/>
          <w:highlight w:val="none"/>
        </w:rPr>
        <w:t>询比采购</w:t>
      </w:r>
      <w:bookmarkEnd w:id="32"/>
      <w:bookmarkEnd w:id="33"/>
    </w:p>
    <w:p>
      <w:pPr>
        <w:adjustRightInd w:val="0"/>
        <w:snapToGrid w:val="0"/>
        <w:spacing w:line="600" w:lineRule="exact"/>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rPr>
        <w:t>询</w:t>
      </w:r>
      <w:r>
        <w:rPr>
          <w:rFonts w:hint="eastAsia" w:asciiTheme="minorEastAsia" w:hAnsiTheme="minorEastAsia"/>
          <w:b/>
          <w:color w:val="auto"/>
          <w:sz w:val="28"/>
          <w:szCs w:val="28"/>
          <w:highlight w:val="none"/>
          <w:lang w:val="en-US" w:eastAsia="zh-CN"/>
        </w:rPr>
        <w:t>价</w:t>
      </w:r>
    </w:p>
    <w:tbl>
      <w:tblPr>
        <w:tblStyle w:val="25"/>
        <w:tblW w:w="8897" w:type="dxa"/>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7938"/>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PrEx>
        <w:trPr>
          <w:trHeight w:val="2318" w:hRule="atLeast"/>
        </w:trPr>
        <w:tc>
          <w:tcPr>
            <w:tcW w:w="959" w:type="dxa"/>
            <w:tcBorders>
              <w:top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1.采购准备</w:t>
            </w:r>
          </w:p>
        </w:tc>
        <w:tc>
          <w:tcPr>
            <w:tcW w:w="7938" w:type="dxa"/>
            <w:tcBorders>
              <w:top w:val="single" w:color="auto" w:sz="4" w:space="0"/>
            </w:tcBorders>
            <w:vAlign w:val="center"/>
          </w:tcPr>
          <w:p>
            <w:pPr>
              <w:adjustRightInd w:val="0"/>
              <w:snapToGrid w:val="0"/>
              <w:ind w:left="0" w:firstLine="0" w:firstLineChars="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 xml:space="preserve"> </w:t>
            </w:r>
            <w:r>
              <w:rPr>
                <w:rFonts w:hint="eastAsia" w:ascii="仿宋_GB2312" w:eastAsia="仿宋_GB2312" w:hAnsiTheme="minorEastAsia"/>
                <w:color w:val="auto"/>
                <w:sz w:val="24"/>
                <w:szCs w:val="24"/>
                <w:highlight w:val="none"/>
                <w:u w:val="single"/>
                <w:lang w:val="en-US" w:eastAsia="zh-CN"/>
              </w:rPr>
              <w:t xml:space="preserve"> </w:t>
            </w: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1</w:t>
            </w:r>
            <w:r>
              <w:rPr>
                <w:rFonts w:hint="eastAsia" w:ascii="仿宋_GB2312" w:eastAsia="仿宋_GB2312" w:hAnsiTheme="minorEastAsia"/>
                <w:color w:val="auto"/>
                <w:sz w:val="24"/>
                <w:szCs w:val="24"/>
                <w:highlight w:val="none"/>
              </w:rPr>
              <w:t xml:space="preserve"> 在采购文件约定的时间、地点，供应商应向采购人提交响应文件；响应文件按照采购文件第二章供应商须知2.</w:t>
            </w:r>
            <w:r>
              <w:rPr>
                <w:rFonts w:hint="eastAsia" w:ascii="仿宋_GB2312" w:eastAsia="仿宋_GB2312" w:hAnsiTheme="minorEastAsia"/>
                <w:color w:val="auto"/>
                <w:sz w:val="24"/>
                <w:szCs w:val="24"/>
                <w:highlight w:val="none"/>
                <w:lang w:val="en-US" w:eastAsia="zh-CN"/>
              </w:rPr>
              <w:t>9</w:t>
            </w:r>
            <w:r>
              <w:rPr>
                <w:rFonts w:hint="eastAsia" w:ascii="仿宋_GB2312" w:eastAsia="仿宋_GB2312" w:hAnsiTheme="minorEastAsia"/>
                <w:color w:val="auto"/>
                <w:sz w:val="24"/>
                <w:szCs w:val="24"/>
                <w:highlight w:val="none"/>
              </w:rPr>
              <w:t>的要求密封，按照2.</w:t>
            </w:r>
            <w:r>
              <w:rPr>
                <w:rFonts w:hint="eastAsia" w:ascii="仿宋_GB2312" w:eastAsia="仿宋_GB2312" w:hAnsiTheme="minorEastAsia"/>
                <w:color w:val="auto"/>
                <w:sz w:val="24"/>
                <w:szCs w:val="24"/>
                <w:highlight w:val="none"/>
                <w:lang w:val="en-US" w:eastAsia="zh-CN"/>
              </w:rPr>
              <w:t>10</w:t>
            </w:r>
            <w:r>
              <w:rPr>
                <w:rFonts w:hint="eastAsia" w:ascii="仿宋_GB2312" w:eastAsia="仿宋_GB2312" w:hAnsiTheme="minorEastAsia"/>
                <w:color w:val="auto"/>
                <w:sz w:val="24"/>
                <w:szCs w:val="24"/>
                <w:highlight w:val="none"/>
              </w:rPr>
              <w:t>的规定提交</w:t>
            </w:r>
          </w:p>
          <w:p>
            <w:pPr>
              <w:adjustRightInd w:val="0"/>
              <w:snapToGrid w:val="0"/>
              <w:ind w:left="480" w:hanging="480" w:hangingChars="20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2</w:t>
            </w:r>
            <w:r>
              <w:rPr>
                <w:rFonts w:hint="eastAsia" w:ascii="仿宋_GB2312" w:eastAsia="仿宋_GB2312" w:hAnsiTheme="minorEastAsia"/>
                <w:color w:val="auto"/>
                <w:sz w:val="24"/>
                <w:szCs w:val="24"/>
                <w:highlight w:val="none"/>
              </w:rPr>
              <w:t xml:space="preserve"> 资格审查执行第二章供应商须知1</w:t>
            </w:r>
            <w:r>
              <w:rPr>
                <w:rFonts w:hint="eastAsia" w:ascii="仿宋_GB2312" w:eastAsia="仿宋_GB2312" w:hAnsiTheme="minorEastAsia"/>
                <w:color w:val="auto"/>
                <w:sz w:val="24"/>
                <w:szCs w:val="24"/>
                <w:highlight w:val="none"/>
                <w:lang w:val="en-US" w:eastAsia="zh-CN"/>
              </w:rPr>
              <w:t>.</w:t>
            </w:r>
            <w:r>
              <w:rPr>
                <w:rFonts w:hint="eastAsia" w:ascii="仿宋_GB2312" w:eastAsia="仿宋_GB2312" w:hAnsiTheme="minorEastAsia"/>
                <w:color w:val="auto"/>
                <w:sz w:val="24"/>
                <w:szCs w:val="24"/>
                <w:highlight w:val="none"/>
              </w:rPr>
              <w:t>对供应商的资格要求</w:t>
            </w:r>
          </w:p>
          <w:p>
            <w:pPr>
              <w:adjustRightInd w:val="0"/>
              <w:snapToGrid w:val="0"/>
              <w:ind w:left="480" w:hanging="480" w:hangingChars="200"/>
              <w:rPr>
                <w:rFonts w:ascii="仿宋_GB2312" w:eastAsia="仿宋_GB2312"/>
                <w:color w:val="auto"/>
                <w:sz w:val="24"/>
                <w:szCs w:val="24"/>
                <w:highlight w:val="none"/>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3</w:t>
            </w:r>
            <w:r>
              <w:rPr>
                <w:rFonts w:hint="eastAsia" w:ascii="仿宋_GB2312" w:eastAsia="仿宋_GB2312" w:hAnsiTheme="minorEastAsia"/>
                <w:color w:val="auto"/>
                <w:sz w:val="24"/>
                <w:szCs w:val="24"/>
                <w:highlight w:val="none"/>
              </w:rPr>
              <w:t xml:space="preserve"> 响应文件提交截止后，</w:t>
            </w:r>
            <w:r>
              <w:rPr>
                <w:rFonts w:hint="eastAsia" w:ascii="仿宋_GB2312" w:eastAsia="仿宋_GB2312" w:hAnsiTheme="minorEastAsia"/>
                <w:color w:val="auto"/>
                <w:sz w:val="24"/>
                <w:szCs w:val="24"/>
                <w:highlight w:val="none"/>
                <w:lang w:val="en-US" w:eastAsia="zh-CN"/>
              </w:rPr>
              <w:t>递交</w:t>
            </w:r>
            <w:r>
              <w:rPr>
                <w:rFonts w:hint="eastAsia" w:ascii="仿宋_GB2312" w:eastAsia="仿宋_GB2312" w:hAnsiTheme="minorEastAsia"/>
                <w:color w:val="auto"/>
                <w:sz w:val="24"/>
                <w:szCs w:val="24"/>
                <w:highlight w:val="none"/>
              </w:rPr>
              <w:t>响应</w:t>
            </w:r>
            <w:r>
              <w:rPr>
                <w:rFonts w:hint="eastAsia" w:ascii="仿宋_GB2312" w:eastAsia="仿宋_GB2312" w:hAnsiTheme="minorEastAsia"/>
                <w:color w:val="auto"/>
                <w:sz w:val="24"/>
                <w:szCs w:val="24"/>
                <w:highlight w:val="none"/>
                <w:lang w:val="en-US" w:eastAsia="zh-CN"/>
              </w:rPr>
              <w:t>文件</w:t>
            </w:r>
            <w:r>
              <w:rPr>
                <w:rFonts w:hint="eastAsia" w:ascii="仿宋_GB2312" w:eastAsia="仿宋_GB2312" w:hAnsiTheme="minorEastAsia"/>
                <w:color w:val="auto"/>
                <w:sz w:val="24"/>
                <w:szCs w:val="24"/>
                <w:highlight w:val="none"/>
              </w:rPr>
              <w:t>供应商不足3家的</w:t>
            </w:r>
            <w:r>
              <w:rPr>
                <w:rFonts w:hint="eastAsia" w:ascii="仿宋_GB2312" w:eastAsia="仿宋_GB2312" w:hAnsiTheme="minorEastAsia"/>
                <w:color w:val="auto"/>
                <w:sz w:val="24"/>
                <w:szCs w:val="24"/>
                <w:highlight w:val="none"/>
                <w:lang w:val="en-US" w:eastAsia="zh-CN"/>
              </w:rPr>
              <w:t>或有效响应文件供应商不足两家</w:t>
            </w:r>
            <w:r>
              <w:rPr>
                <w:rFonts w:hint="eastAsia" w:ascii="仿宋_GB2312" w:eastAsia="仿宋_GB2312" w:hAnsiTheme="minorEastAsia"/>
                <w:color w:val="auto"/>
                <w:sz w:val="24"/>
                <w:szCs w:val="24"/>
                <w:highlight w:val="none"/>
              </w:rPr>
              <w:t>，应分析原因并重新发出采购公告</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lang w:val="en-US" w:eastAsia="zh-CN"/>
              </w:rPr>
              <w:t>邀请书</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或</w:t>
            </w:r>
            <w:r>
              <w:rPr>
                <w:rFonts w:hint="eastAsia" w:ascii="仿宋_GB2312" w:eastAsia="仿宋_GB2312" w:hAnsiTheme="minorEastAsia"/>
                <w:color w:val="auto"/>
                <w:sz w:val="24"/>
                <w:szCs w:val="24"/>
                <w:highlight w:val="none"/>
                <w:lang w:eastAsia="zh-CN"/>
              </w:rPr>
              <w:t>采取</w:t>
            </w:r>
            <w:r>
              <w:rPr>
                <w:rFonts w:hint="eastAsia" w:ascii="仿宋_GB2312" w:eastAsia="仿宋_GB2312" w:hAnsiTheme="minorEastAsia"/>
                <w:color w:val="auto"/>
                <w:sz w:val="24"/>
                <w:szCs w:val="24"/>
                <w:highlight w:val="none"/>
                <w:lang w:val="en-US" w:eastAsia="zh-CN"/>
              </w:rPr>
              <w:t>其他采购方式</w:t>
            </w:r>
            <w:r>
              <w:rPr>
                <w:rFonts w:hint="eastAsia" w:ascii="仿宋_GB2312" w:eastAsia="仿宋_GB2312" w:hAnsiTheme="minorEastAsia"/>
                <w:color w:val="auto"/>
                <w:sz w:val="24"/>
                <w:szCs w:val="24"/>
                <w:highlight w:val="none"/>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1" w:hRule="atLeast"/>
        </w:trPr>
        <w:tc>
          <w:tcPr>
            <w:tcW w:w="959" w:type="dxa"/>
            <w:tcBorders>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2.询比规则</w:t>
            </w:r>
          </w:p>
        </w:tc>
        <w:tc>
          <w:tcPr>
            <w:tcW w:w="7938" w:type="dxa"/>
            <w:tcBorders>
              <w:bottom w:val="single" w:color="auto" w:sz="4" w:space="0"/>
            </w:tcBorders>
            <w:vAlign w:val="center"/>
          </w:tcPr>
          <w:p>
            <w:pPr>
              <w:adjustRightInd w:val="0"/>
              <w:snapToGrid w:val="0"/>
              <w:ind w:left="458" w:hanging="458" w:hangingChars="191"/>
              <w:rPr>
                <w:rFonts w:ascii="仿宋_GB2312" w:eastAsia="仿宋_GB2312"/>
                <w:color w:val="auto"/>
                <w:sz w:val="24"/>
                <w:szCs w:val="24"/>
                <w:highlight w:val="none"/>
              </w:rPr>
            </w:pPr>
            <w:r>
              <w:rPr>
                <w:rFonts w:hint="eastAsia" w:ascii="仿宋_GB2312" w:eastAsia="仿宋_GB2312" w:hAnsiTheme="minorEastAsia"/>
                <w:color w:val="auto"/>
                <w:sz w:val="24"/>
                <w:szCs w:val="24"/>
                <w:highlight w:val="none"/>
              </w:rPr>
              <w:t>2.1 报价应包括国家规定的增值税税金，增值税税金按一般计税方法计算。报价范围包括</w:t>
            </w:r>
            <w:r>
              <w:rPr>
                <w:rFonts w:hint="eastAsia" w:ascii="仿宋_GB2312" w:eastAsia="仿宋_GB2312" w:hAnsiTheme="minorEastAsia"/>
                <w:color w:val="auto"/>
                <w:sz w:val="24"/>
                <w:szCs w:val="24"/>
                <w:highlight w:val="none"/>
                <w:u w:val="single"/>
                <w:lang w:val="en-US" w:eastAsia="zh-CN"/>
              </w:rPr>
              <w:t>本项目所有采购内容和范围。</w:t>
            </w:r>
            <w:r>
              <w:rPr>
                <w:rFonts w:hint="eastAsia" w:ascii="仿宋_GB2312" w:eastAsia="仿宋_GB2312"/>
                <w:color w:val="auto"/>
                <w:sz w:val="24"/>
                <w:szCs w:val="24"/>
                <w:highlight w:val="none"/>
              </w:rPr>
              <w:t xml:space="preserve"> </w:t>
            </w:r>
          </w:p>
          <w:p>
            <w:pPr>
              <w:adjustRightInd w:val="0"/>
              <w:snapToGrid w:val="0"/>
              <w:ind w:left="458" w:hanging="458" w:hangingChars="191"/>
              <w:rPr>
                <w:rFonts w:ascii="仿宋_GB2312" w:eastAsia="仿宋_GB2312"/>
                <w:color w:val="auto"/>
                <w:sz w:val="24"/>
                <w:szCs w:val="24"/>
                <w:highlight w:val="none"/>
              </w:rPr>
            </w:pPr>
            <w:r>
              <w:rPr>
                <w:rFonts w:hint="eastAsia" w:ascii="仿宋_GB2312" w:eastAsia="仿宋_GB2312"/>
                <w:color w:val="auto"/>
                <w:sz w:val="24"/>
                <w:szCs w:val="24"/>
                <w:highlight w:val="none"/>
              </w:rPr>
              <w:t xml:space="preserve">2.2 询比地址 </w:t>
            </w:r>
          </w:p>
          <w:p>
            <w:pPr>
              <w:adjustRightInd w:val="0"/>
              <w:snapToGrid w:val="0"/>
              <w:ind w:left="456" w:leftChars="217"/>
              <w:rPr>
                <w:rFonts w:ascii="仿宋_GB2312" w:eastAsia="仿宋_GB2312"/>
                <w:color w:val="auto"/>
                <w:sz w:val="24"/>
                <w:szCs w:val="24"/>
                <w:highlight w:val="none"/>
                <w:u w:val="single"/>
              </w:rPr>
            </w:pPr>
            <w:r>
              <w:rPr>
                <w:rFonts w:hint="eastAsia" w:ascii="仿宋_GB2312" w:eastAsia="仿宋_GB2312" w:hAnsiTheme="minorEastAsia"/>
                <w:color w:val="auto"/>
                <w:sz w:val="24"/>
                <w:szCs w:val="24"/>
                <w:highlight w:val="none"/>
                <w:u w:val="single"/>
                <w:lang w:val="en-US" w:eastAsia="zh-CN"/>
              </w:rPr>
              <w:t>广州市天河区临江大道501号广州市净水有限公司</w:t>
            </w:r>
          </w:p>
          <w:p>
            <w:pPr>
              <w:adjustRightInd w:val="0"/>
              <w:snapToGrid w:val="0"/>
              <w:rPr>
                <w:rFonts w:ascii="仿宋_GB2312" w:eastAsia="仿宋_GB2312" w:hAnsiTheme="minorEastAsia"/>
                <w:color w:val="auto"/>
                <w:sz w:val="24"/>
                <w:szCs w:val="24"/>
                <w:highlight w:val="none"/>
                <w:u w:val="single"/>
              </w:rPr>
            </w:pPr>
            <w:r>
              <w:rPr>
                <w:rFonts w:hint="eastAsia" w:ascii="仿宋_GB2312" w:eastAsia="仿宋_GB2312" w:hAnsiTheme="minorEastAsia"/>
                <w:color w:val="auto"/>
                <w:sz w:val="24"/>
                <w:szCs w:val="24"/>
                <w:highlight w:val="none"/>
              </w:rPr>
              <w:t>2.3 询比开始时间（同响应文件截止时间）</w:t>
            </w:r>
          </w:p>
          <w:p>
            <w:pPr>
              <w:adjustRightInd w:val="0"/>
              <w:snapToGrid w:val="0"/>
              <w:ind w:left="480" w:hanging="480" w:hangingChars="200"/>
              <w:rPr>
                <w:rFonts w:ascii="仿宋_GB2312" w:eastAsia="仿宋_GB2312"/>
                <w:color w:val="auto"/>
                <w:sz w:val="24"/>
                <w:szCs w:val="24"/>
                <w:highlight w:val="none"/>
              </w:rPr>
            </w:pPr>
            <w:r>
              <w:rPr>
                <w:rFonts w:hint="eastAsia" w:ascii="仿宋_GB2312" w:eastAsia="仿宋_GB2312"/>
                <w:color w:val="auto"/>
                <w:sz w:val="24"/>
                <w:szCs w:val="24"/>
                <w:highlight w:val="none"/>
              </w:rPr>
              <w:t>2.4 供应商依据采购文件规定的时间和地点递交响应文件，供应商应一次报出不可更改的价格</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9" w:hRule="atLeast"/>
        </w:trPr>
        <w:tc>
          <w:tcPr>
            <w:tcW w:w="959" w:type="dxa"/>
            <w:tcBorders>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3.成交规则</w:t>
            </w:r>
          </w:p>
        </w:tc>
        <w:tc>
          <w:tcPr>
            <w:tcW w:w="7938" w:type="dxa"/>
            <w:tcBorders>
              <w:bottom w:val="single" w:color="auto" w:sz="4" w:space="0"/>
            </w:tcBorders>
            <w:vAlign w:val="center"/>
          </w:tcPr>
          <w:p>
            <w:pPr>
              <w:adjustRightInd w:val="0"/>
              <w:snapToGrid w:val="0"/>
              <w:ind w:left="360" w:hanging="360" w:hangingChars="150"/>
              <w:rPr>
                <w:rFonts w:hint="eastAsia"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sym w:font="Wingdings 2" w:char="0052"/>
            </w:r>
            <w:r>
              <w:rPr>
                <w:rFonts w:hint="eastAsia" w:ascii="仿宋_GB2312" w:eastAsia="仿宋_GB2312" w:hAnsiTheme="minorEastAsia"/>
                <w:color w:val="auto"/>
                <w:sz w:val="24"/>
                <w:szCs w:val="24"/>
                <w:highlight w:val="none"/>
              </w:rPr>
              <w:t>采购人确定满足采购文件</w:t>
            </w:r>
            <w:r>
              <w:rPr>
                <w:rFonts w:hint="eastAsia" w:ascii="仿宋_GB2312" w:eastAsia="仿宋_GB2312" w:hAnsiTheme="minorEastAsia"/>
                <w:color w:val="auto"/>
                <w:sz w:val="24"/>
                <w:szCs w:val="24"/>
                <w:highlight w:val="none"/>
                <w:lang w:val="en-US" w:eastAsia="zh-CN"/>
              </w:rPr>
              <w:t>资格性、响应性</w:t>
            </w:r>
            <w:r>
              <w:rPr>
                <w:rFonts w:hint="eastAsia" w:ascii="仿宋_GB2312" w:eastAsia="仿宋_GB2312" w:hAnsiTheme="minorEastAsia"/>
                <w:color w:val="auto"/>
                <w:sz w:val="24"/>
                <w:szCs w:val="24"/>
                <w:highlight w:val="none"/>
              </w:rPr>
              <w:t>要求，并且经评审的报价最低的为成交供应商</w:t>
            </w:r>
          </w:p>
          <w:p>
            <w:pPr>
              <w:adjustRightInd w:val="0"/>
              <w:snapToGrid w:val="0"/>
              <w:ind w:left="360" w:hanging="360" w:hangingChars="150"/>
              <w:rPr>
                <w:rFonts w:hint="default" w:ascii="仿宋_GB2312" w:eastAsia="仿宋_GB2312" w:hAnsiTheme="minorEastAsia"/>
                <w:color w:val="auto"/>
                <w:sz w:val="24"/>
                <w:szCs w:val="24"/>
                <w:highlight w:val="none"/>
                <w:lang w:val="en-US" w:eastAsia="zh-CN"/>
              </w:rPr>
            </w:pPr>
            <w:r>
              <w:rPr>
                <w:rFonts w:hint="eastAsia" w:ascii="仿宋_GB2312" w:eastAsia="仿宋_GB2312" w:hAnsiTheme="minorEastAsia"/>
                <w:color w:val="auto"/>
                <w:sz w:val="24"/>
                <w:szCs w:val="24"/>
                <w:highlight w:val="none"/>
              </w:rPr>
              <w:sym w:font="Wingdings 2" w:char="00A3"/>
            </w:r>
            <w:r>
              <w:rPr>
                <w:rFonts w:hint="eastAsia" w:ascii="仿宋_GB2312" w:eastAsia="仿宋_GB2312" w:hAnsiTheme="minorEastAsia"/>
                <w:color w:val="auto"/>
                <w:sz w:val="24"/>
                <w:szCs w:val="24"/>
                <w:highlight w:val="none"/>
              </w:rPr>
              <w:t>评审小组按照采购文件确定的标准排序，采购人确定排名第一的供应商为成交供应商</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lang w:val="en-US" w:eastAsia="zh-CN"/>
              </w:rPr>
              <w:t xml:space="preserve"> </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959" w:type="dxa"/>
            <w:tcBorders>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4.成交候选人公示</w:t>
            </w:r>
          </w:p>
        </w:tc>
        <w:tc>
          <w:tcPr>
            <w:tcW w:w="7938" w:type="dxa"/>
            <w:tcBorders>
              <w:bottom w:val="single" w:color="auto" w:sz="4" w:space="0"/>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在评审小组提交评审报告3日内，在</w:t>
            </w:r>
            <w:r>
              <w:rPr>
                <w:rFonts w:hint="eastAsia" w:ascii="仿宋_GB2312" w:eastAsia="仿宋_GB2312" w:hAnsiTheme="minorEastAsia"/>
                <w:color w:val="auto"/>
                <w:sz w:val="24"/>
                <w:szCs w:val="24"/>
                <w:highlight w:val="none"/>
                <w:u w:val="single"/>
                <w:lang w:val="en-US" w:eastAsia="zh-CN"/>
              </w:rPr>
              <w:t>广州市净水有限公司门户网站</w:t>
            </w:r>
            <w:r>
              <w:rPr>
                <w:rFonts w:hint="eastAsia" w:ascii="仿宋_GB2312" w:eastAsia="仿宋_GB2312" w:hAnsiTheme="minorEastAsia"/>
                <w:color w:val="auto"/>
                <w:sz w:val="24"/>
                <w:szCs w:val="24"/>
                <w:highlight w:val="none"/>
              </w:rPr>
              <w:t>公示成交候选人</w:t>
            </w:r>
            <w:r>
              <w:rPr>
                <w:rFonts w:hint="eastAsia" w:ascii="仿宋_GB2312" w:eastAsia="仿宋_GB2312" w:hAnsiTheme="minorEastAsia"/>
                <w:color w:val="auto"/>
                <w:sz w:val="24"/>
                <w:szCs w:val="24"/>
                <w:highlight w:val="none"/>
                <w:lang w:eastAsia="zh-CN"/>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959" w:type="dxa"/>
            <w:tcBorders>
              <w:top w:val="single" w:color="auto" w:sz="4" w:space="0"/>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5.成交结果公告</w:t>
            </w:r>
          </w:p>
        </w:tc>
        <w:tc>
          <w:tcPr>
            <w:tcW w:w="7938" w:type="dxa"/>
            <w:tcBorders>
              <w:top w:val="single" w:color="auto" w:sz="4" w:space="0"/>
              <w:bottom w:val="single" w:color="auto" w:sz="4" w:space="0"/>
            </w:tcBorders>
            <w:vAlign w:val="center"/>
          </w:tcPr>
          <w:p>
            <w:pPr>
              <w:adjustRightInd w:val="0"/>
              <w:snapToGrid w:val="0"/>
              <w:rPr>
                <w:rFonts w:hint="default" w:ascii="仿宋_GB2312" w:eastAsia="仿宋_GB2312" w:hAnsiTheme="minorEastAsia"/>
                <w:color w:val="auto"/>
                <w:sz w:val="24"/>
                <w:szCs w:val="24"/>
                <w:highlight w:val="none"/>
                <w:lang w:val="en-US" w:eastAsia="zh-CN"/>
              </w:rPr>
            </w:pPr>
            <w:r>
              <w:rPr>
                <w:rFonts w:hint="eastAsia" w:ascii="仿宋_GB2312" w:eastAsia="仿宋_GB2312"/>
                <w:color w:val="auto"/>
                <w:sz w:val="24"/>
                <w:szCs w:val="24"/>
                <w:highlight w:val="none"/>
              </w:rPr>
              <w:t>成交候选人公示</w:t>
            </w:r>
            <w:r>
              <w:rPr>
                <w:rFonts w:hint="eastAsia" w:ascii="仿宋_GB2312" w:eastAsia="仿宋_GB2312" w:hAnsiTheme="minorEastAsia"/>
                <w:color w:val="auto"/>
                <w:sz w:val="24"/>
                <w:szCs w:val="24"/>
                <w:highlight w:val="none"/>
                <w:lang w:val="en-US" w:eastAsia="zh-CN"/>
              </w:rPr>
              <w:t>结束后。</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3" w:hRule="atLeast"/>
        </w:trPr>
        <w:tc>
          <w:tcPr>
            <w:tcW w:w="959" w:type="dxa"/>
            <w:tcBorders>
              <w:top w:val="single" w:color="auto" w:sz="4" w:space="0"/>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6.成交通知书</w:t>
            </w:r>
          </w:p>
        </w:tc>
        <w:tc>
          <w:tcPr>
            <w:tcW w:w="7938" w:type="dxa"/>
            <w:tcBorders>
              <w:top w:val="single" w:color="auto" w:sz="4" w:space="0"/>
              <w:bottom w:val="single" w:color="auto" w:sz="4" w:space="0"/>
            </w:tcBorders>
            <w:vAlign w:val="center"/>
          </w:tcPr>
          <w:p>
            <w:pPr>
              <w:adjustRightInd w:val="0"/>
              <w:snapToGrid w:val="0"/>
              <w:ind w:left="1" w:firstLine="2"/>
              <w:jc w:val="left"/>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采购人应在确定成交供应商后及时向其发出成交通知书。</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959" w:type="dxa"/>
            <w:tcBorders>
              <w:top w:val="single" w:color="auto" w:sz="4" w:space="0"/>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7.签订采购合同</w:t>
            </w:r>
          </w:p>
        </w:tc>
        <w:tc>
          <w:tcPr>
            <w:tcW w:w="7938" w:type="dxa"/>
            <w:tcBorders>
              <w:top w:val="single" w:color="auto" w:sz="4" w:space="0"/>
              <w:bottom w:val="single" w:color="auto" w:sz="4" w:space="0"/>
            </w:tcBorders>
            <w:vAlign w:val="center"/>
          </w:tcPr>
          <w:p>
            <w:pPr>
              <w:adjustRightInd w:val="0"/>
              <w:snapToGrid w:val="0"/>
              <w:ind w:left="1" w:firstLine="2"/>
              <w:jc w:val="left"/>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采购人在发出成交通知书后</w:t>
            </w:r>
            <w:r>
              <w:rPr>
                <w:rFonts w:hint="eastAsia" w:ascii="仿宋_GB2312" w:eastAsia="仿宋_GB2312" w:hAnsiTheme="minorEastAsia"/>
                <w:color w:val="auto"/>
                <w:sz w:val="24"/>
                <w:szCs w:val="24"/>
                <w:highlight w:val="none"/>
                <w:lang w:val="en-US" w:eastAsia="zh-CN"/>
              </w:rPr>
              <w:t>30</w:t>
            </w:r>
            <w:r>
              <w:rPr>
                <w:rFonts w:hint="eastAsia" w:ascii="仿宋_GB2312" w:eastAsia="仿宋_GB2312" w:hAnsiTheme="minorEastAsia"/>
                <w:color w:val="auto"/>
                <w:sz w:val="24"/>
                <w:szCs w:val="24"/>
                <w:highlight w:val="none"/>
              </w:rPr>
              <w:t>日内同成交供应商签订书面采购合同</w:t>
            </w:r>
            <w:r>
              <w:rPr>
                <w:rFonts w:hint="eastAsia" w:ascii="仿宋_GB2312" w:eastAsia="仿宋_GB2312" w:hAnsiTheme="minorEastAsia"/>
                <w:color w:val="auto"/>
                <w:sz w:val="24"/>
                <w:szCs w:val="24"/>
                <w:highlight w:val="none"/>
                <w:lang w:val="en-US" w:eastAsia="zh-CN"/>
              </w:rPr>
              <w:t>.</w:t>
            </w:r>
          </w:p>
        </w:tc>
      </w:tr>
    </w:tbl>
    <w:p>
      <w:pPr>
        <w:adjustRightInd w:val="0"/>
        <w:snapToGrid w:val="0"/>
        <w:spacing w:line="600" w:lineRule="exact"/>
        <w:ind w:firstLine="560" w:firstLineChars="200"/>
        <w:jc w:val="left"/>
        <w:rPr>
          <w:rFonts w:ascii="仿宋_GB2312" w:eastAsia="仿宋_GB2312"/>
          <w:color w:val="auto"/>
          <w:sz w:val="28"/>
          <w:szCs w:val="28"/>
          <w:highlight w:val="none"/>
        </w:rPr>
      </w:pPr>
    </w:p>
    <w:p>
      <w:pPr>
        <w:pStyle w:val="5"/>
        <w:ind w:left="0" w:leftChars="0" w:firstLine="0" w:firstLineChars="0"/>
        <w:rPr>
          <w:rFonts w:ascii="仿宋_GB2312" w:eastAsia="仿宋_GB2312"/>
          <w:color w:val="auto"/>
          <w:sz w:val="28"/>
          <w:szCs w:val="28"/>
          <w:highlight w:val="none"/>
        </w:rPr>
      </w:pPr>
    </w:p>
    <w:p>
      <w:pPr>
        <w:pStyle w:val="5"/>
        <w:rPr>
          <w:rFonts w:ascii="仿宋_GB2312" w:eastAsia="仿宋_GB2312"/>
          <w:color w:val="auto"/>
          <w:sz w:val="28"/>
          <w:szCs w:val="28"/>
          <w:highlight w:val="none"/>
        </w:rPr>
      </w:pPr>
    </w:p>
    <w:p>
      <w:pPr>
        <w:pStyle w:val="5"/>
        <w:rPr>
          <w:rFonts w:ascii="仿宋_GB2312" w:eastAsia="仿宋_GB2312"/>
          <w:color w:val="auto"/>
          <w:sz w:val="28"/>
          <w:szCs w:val="28"/>
          <w:highlight w:val="none"/>
        </w:rPr>
      </w:pPr>
    </w:p>
    <w:p>
      <w:pPr>
        <w:adjustRightInd w:val="0"/>
        <w:snapToGrid w:val="0"/>
        <w:spacing w:line="600" w:lineRule="exact"/>
        <w:jc w:val="left"/>
        <w:rPr>
          <w:rFonts w:ascii="仿宋_GB2312" w:eastAsia="仿宋_GB2312"/>
          <w:color w:val="auto"/>
          <w:sz w:val="28"/>
          <w:szCs w:val="28"/>
          <w:highlight w:val="none"/>
        </w:rPr>
      </w:pPr>
    </w:p>
    <w:p>
      <w:pPr>
        <w:pStyle w:val="2"/>
        <w:rPr>
          <w:color w:val="auto"/>
          <w:highlight w:val="none"/>
        </w:rPr>
      </w:pPr>
      <w:bookmarkStart w:id="34" w:name="_Toc14870"/>
      <w:bookmarkStart w:id="35" w:name="_Toc3156"/>
      <w:bookmarkStart w:id="36" w:name="_Toc4952"/>
      <w:bookmarkStart w:id="37" w:name="_Toc19759"/>
      <w:bookmarkStart w:id="38" w:name="_Toc10930"/>
      <w:bookmarkStart w:id="39" w:name="_Toc20594"/>
      <w:bookmarkStart w:id="40" w:name="_Toc7118"/>
      <w:bookmarkStart w:id="41" w:name="_Toc19050"/>
      <w:bookmarkStart w:id="42" w:name="_Toc7437"/>
      <w:bookmarkStart w:id="43" w:name="_Toc23581"/>
      <w:bookmarkStart w:id="44" w:name="_Toc14552"/>
      <w:r>
        <w:rPr>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2306320</wp:posOffset>
                </wp:positionH>
                <wp:positionV relativeFrom="paragraph">
                  <wp:posOffset>720090</wp:posOffset>
                </wp:positionV>
                <wp:extent cx="958850" cy="0"/>
                <wp:effectExtent l="0" t="0" r="0" b="0"/>
                <wp:wrapNone/>
                <wp:docPr id="4" name="自选图形 7"/>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7" o:spid="_x0000_s1026" o:spt="32" type="#_x0000_t32" style="position:absolute;left:0pt;margin-left:181.6pt;margin-top:56.7pt;height:0pt;width:75.5pt;z-index:251662336;mso-width-relative:page;mso-height-relative:page;" filled="f" stroked="t" coordsize="21600,21600" o:gfxdata="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1ZsL61wAAAAsBAAAPAAAAAAAAAAEAIAAAACIAAABkcnMvZG93bnJldi54bWxQSwECFAAU&#10;AAAACACHTuJAe51jF/IBAADiAwAADgAAAAAAAAABACAAAAAmAQAAZHJzL2Uyb0RvYy54bWxQSwUG&#10;AAAAAAYABgBZAQAAigU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2325370</wp:posOffset>
                </wp:positionH>
                <wp:positionV relativeFrom="paragraph">
                  <wp:posOffset>270510</wp:posOffset>
                </wp:positionV>
                <wp:extent cx="958850" cy="0"/>
                <wp:effectExtent l="0" t="0" r="0" b="0"/>
                <wp:wrapNone/>
                <wp:docPr id="3" name="自选图形 6"/>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6" o:spid="_x0000_s1026" o:spt="32" type="#_x0000_t32" style="position:absolute;left:0pt;margin-left:183.1pt;margin-top:21.3pt;height:0pt;width:75.5pt;z-index:251661312;mso-width-relative:page;mso-height-relative:page;" filled="f" stroked="t" coordsize="21600,21600" o:gfxdata="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fDrgQ1wAAAAkBAAAPAAAAAAAAAAEAIAAAACIAAABkcnMvZG93bnJldi54bWxQSwECFAAU&#10;AAAACACHTuJAkDHAsPIBAADiAwAADgAAAAAAAAABACAAAAAmAQAAZHJzL2Uyb0RvYy54bWxQSwUG&#10;AAAAAAYABgBZAQAAigUAAAAA&#10;">
                <v:fill on="f" focussize="0,0"/>
                <v:stroke color="#000000" joinstyle="round"/>
                <v:imagedata o:title=""/>
                <o:lock v:ext="edit" aspectratio="f"/>
              </v:shape>
            </w:pict>
          </mc:Fallback>
        </mc:AlternateContent>
      </w:r>
      <w:r>
        <w:rPr>
          <w:rFonts w:hint="eastAsia"/>
          <w:color w:val="auto"/>
          <w:highlight w:val="none"/>
        </w:rPr>
        <w:t>第</w:t>
      </w:r>
      <w:r>
        <w:rPr>
          <w:rFonts w:hint="eastAsia"/>
          <w:color w:val="auto"/>
          <w:highlight w:val="none"/>
          <w:lang w:val="en-US" w:eastAsia="zh-CN"/>
        </w:rPr>
        <w:t>四</w:t>
      </w:r>
      <w:r>
        <w:rPr>
          <w:rFonts w:hint="eastAsia"/>
          <w:color w:val="auto"/>
          <w:highlight w:val="none"/>
        </w:rPr>
        <w:t>章</w:t>
      </w:r>
      <w:bookmarkEnd w:id="34"/>
      <w:bookmarkEnd w:id="35"/>
      <w:bookmarkEnd w:id="36"/>
      <w:bookmarkEnd w:id="37"/>
      <w:bookmarkEnd w:id="38"/>
      <w:bookmarkEnd w:id="39"/>
      <w:bookmarkEnd w:id="40"/>
      <w:bookmarkEnd w:id="41"/>
      <w:bookmarkEnd w:id="42"/>
      <w:bookmarkEnd w:id="43"/>
      <w:bookmarkEnd w:id="44"/>
    </w:p>
    <w:p>
      <w:pPr>
        <w:pStyle w:val="38"/>
        <w:rPr>
          <w:color w:val="auto"/>
          <w:highlight w:val="none"/>
        </w:rPr>
      </w:pPr>
    </w:p>
    <w:p>
      <w:pPr>
        <w:pStyle w:val="2"/>
        <w:rPr>
          <w:color w:val="auto"/>
          <w:highlight w:val="none"/>
        </w:rPr>
      </w:pPr>
      <w:bookmarkStart w:id="45" w:name="_Toc30530"/>
      <w:bookmarkStart w:id="46" w:name="_Toc32607"/>
      <w:bookmarkStart w:id="47" w:name="_Toc29484"/>
      <w:bookmarkStart w:id="48" w:name="_Toc13898"/>
      <w:bookmarkStart w:id="49" w:name="_Toc87616378"/>
      <w:bookmarkStart w:id="50" w:name="_Toc88209941"/>
      <w:bookmarkStart w:id="51" w:name="_Toc7831"/>
      <w:bookmarkStart w:id="52" w:name="_Toc6308"/>
      <w:bookmarkStart w:id="53" w:name="_Toc21840"/>
      <w:bookmarkStart w:id="54" w:name="_Toc12177"/>
      <w:bookmarkStart w:id="55" w:name="_Toc29345"/>
      <w:bookmarkStart w:id="56" w:name="_Toc21079"/>
      <w:bookmarkStart w:id="57" w:name="_Toc22212"/>
      <w:r>
        <w:rPr>
          <w:rFonts w:hint="eastAsia"/>
          <w:color w:val="auto"/>
          <w:highlight w:val="none"/>
        </w:rPr>
        <w:t>评审办法</w:t>
      </w:r>
      <w:bookmarkEnd w:id="45"/>
      <w:bookmarkEnd w:id="46"/>
      <w:bookmarkEnd w:id="47"/>
      <w:bookmarkEnd w:id="48"/>
      <w:bookmarkEnd w:id="49"/>
      <w:bookmarkEnd w:id="50"/>
      <w:bookmarkEnd w:id="51"/>
      <w:bookmarkEnd w:id="52"/>
      <w:bookmarkEnd w:id="53"/>
      <w:bookmarkEnd w:id="54"/>
      <w:bookmarkEnd w:id="55"/>
      <w:bookmarkEnd w:id="56"/>
      <w:bookmarkEnd w:id="57"/>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5"/>
        <w:rPr>
          <w:rFonts w:ascii="方正小标宋简体" w:eastAsia="方正小标宋简体"/>
          <w:color w:val="auto"/>
          <w:sz w:val="44"/>
          <w:szCs w:val="44"/>
          <w:highlight w:val="none"/>
        </w:rPr>
      </w:pPr>
    </w:p>
    <w:p>
      <w:pPr>
        <w:pStyle w:val="5"/>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23"/>
        <w:ind w:firstLine="0"/>
        <w:rPr>
          <w:rFonts w:ascii="方正小标宋简体" w:eastAsia="方正小标宋简体"/>
          <w:color w:val="auto"/>
          <w:sz w:val="44"/>
          <w:szCs w:val="44"/>
          <w:highlight w:val="none"/>
        </w:rPr>
      </w:pPr>
    </w:p>
    <w:p>
      <w:pPr>
        <w:pStyle w:val="3"/>
        <w:rPr>
          <w:color w:val="auto"/>
          <w:highlight w:val="none"/>
        </w:rPr>
      </w:pPr>
      <w:bookmarkStart w:id="58" w:name="_Toc26826"/>
      <w:bookmarkStart w:id="59" w:name="_Toc23033"/>
      <w:r>
        <w:rPr>
          <w:rFonts w:hint="eastAsia"/>
          <w:color w:val="auto"/>
          <w:highlight w:val="none"/>
        </w:rPr>
        <w:sym w:font="Wingdings 2" w:char="0052"/>
      </w:r>
      <w:r>
        <w:rPr>
          <w:rFonts w:hint="eastAsia"/>
          <w:color w:val="auto"/>
          <w:highlight w:val="none"/>
        </w:rPr>
        <w:t>经评审的最低价法</w:t>
      </w:r>
      <w:bookmarkEnd w:id="58"/>
      <w:bookmarkEnd w:id="59"/>
    </w:p>
    <w:p>
      <w:pPr>
        <w:adjustRightInd w:val="0"/>
        <w:snapToGrid w:val="0"/>
        <w:spacing w:line="600" w:lineRule="exact"/>
        <w:jc w:val="left"/>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1.评审方法</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供应商的报价应当符合采购文件规定的技术要求和标准，但评审小组无须对响应文件的技术部分进行价格评审。</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除报价外，评审还应考虑的商务因素一般有以下几种：</w:t>
      </w:r>
    </w:p>
    <w:p>
      <w:pPr>
        <w:adjustRightInd w:val="0"/>
        <w:snapToGrid w:val="0"/>
        <w:spacing w:line="600" w:lineRule="exact"/>
        <w:ind w:firstLine="420" w:firstLineChars="150"/>
        <w:jc w:val="left"/>
        <w:rPr>
          <w:rFonts w:hint="eastAsia" w:ascii="仿宋" w:hAnsi="仿宋" w:eastAsia="仿宋" w:cs="仿宋"/>
          <w:color w:val="auto"/>
          <w:sz w:val="28"/>
          <w:szCs w:val="28"/>
          <w:highlight w:val="none"/>
          <w:lang w:eastAsia="zh-CN"/>
        </w:rPr>
      </w:pPr>
      <w:r>
        <w:rPr>
          <w:rFonts w:hint="eastAsia" w:ascii="仿宋" w:hAnsi="仿宋" w:eastAsia="仿宋" w:cs="仿宋"/>
          <w:color w:val="auto"/>
          <w:sz w:val="28"/>
          <w:szCs w:val="28"/>
          <w:highlight w:val="none"/>
        </w:rPr>
        <w:t>（1）运输费用及保险费。</w:t>
      </w:r>
      <w:r>
        <w:rPr>
          <w:rFonts w:hint="eastAsia" w:ascii="仿宋" w:hAnsi="仿宋" w:eastAsia="仿宋" w:cs="仿宋"/>
          <w:color w:val="auto"/>
          <w:sz w:val="28"/>
          <w:szCs w:val="28"/>
          <w:highlight w:val="none"/>
          <w:lang w:eastAsia="zh-CN"/>
        </w:rPr>
        <w:t>（如有）</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 xml:space="preserve">   （2）工期、交货期或服务期限。</w:t>
      </w:r>
    </w:p>
    <w:p>
      <w:pPr>
        <w:adjustRightInd w:val="0"/>
        <w:snapToGrid w:val="0"/>
        <w:spacing w:line="600" w:lineRule="exact"/>
        <w:ind w:firstLine="420" w:firstLineChars="15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（3）支付条件。</w:t>
      </w:r>
    </w:p>
    <w:p>
      <w:pPr>
        <w:adjustRightInd w:val="0"/>
        <w:snapToGrid w:val="0"/>
        <w:spacing w:line="600" w:lineRule="exact"/>
        <w:ind w:firstLine="420" w:firstLineChars="15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（4）备品备件以及售后服务（如有）。</w:t>
      </w:r>
    </w:p>
    <w:p>
      <w:pPr>
        <w:adjustRightInd w:val="0"/>
        <w:snapToGrid w:val="0"/>
        <w:spacing w:line="600" w:lineRule="exact"/>
        <w:ind w:firstLine="420" w:firstLineChars="15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（5）价格调整因素。</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经澄清确认后修正的最终报价应当认为是供应商的真实要约，可以作为合同签约价。</w:t>
      </w:r>
    </w:p>
    <w:p>
      <w:pPr>
        <w:adjustRightInd w:val="0"/>
        <w:snapToGrid w:val="0"/>
        <w:spacing w:line="600" w:lineRule="exact"/>
        <w:jc w:val="left"/>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2.评审程序</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2.1 初步评审</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表4-1                      初步评审标准</w:t>
      </w:r>
    </w:p>
    <w:tbl>
      <w:tblPr>
        <w:tblStyle w:val="25"/>
        <w:tblW w:w="0" w:type="auto"/>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6"/>
        <w:gridCol w:w="2127"/>
        <w:gridCol w:w="5528"/>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blHeader/>
        </w:trPr>
        <w:tc>
          <w:tcPr>
            <w:tcW w:w="1356" w:type="dxa"/>
            <w:tcBorders>
              <w:top w:val="single" w:color="auto" w:sz="4" w:space="0"/>
              <w:bottom w:val="single" w:color="auto" w:sz="4" w:space="0"/>
            </w:tcBorders>
            <w:vAlign w:val="center"/>
          </w:tcPr>
          <w:p>
            <w:pPr>
              <w:adjustRightInd w:val="0"/>
              <w:snapToGrid w:val="0"/>
              <w:spacing w:line="600" w:lineRule="exact"/>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评审环节</w:t>
            </w:r>
          </w:p>
        </w:tc>
        <w:tc>
          <w:tcPr>
            <w:tcW w:w="2127" w:type="dxa"/>
            <w:tcBorders>
              <w:top w:val="single" w:color="auto" w:sz="4" w:space="0"/>
              <w:bottom w:val="single" w:color="auto" w:sz="4" w:space="0"/>
            </w:tcBorders>
            <w:vAlign w:val="center"/>
          </w:tcPr>
          <w:p>
            <w:pPr>
              <w:adjustRightInd w:val="0"/>
              <w:snapToGrid w:val="0"/>
              <w:spacing w:line="600" w:lineRule="exact"/>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评审因素</w:t>
            </w:r>
          </w:p>
        </w:tc>
        <w:tc>
          <w:tcPr>
            <w:tcW w:w="5528" w:type="dxa"/>
            <w:tcBorders>
              <w:top w:val="single" w:color="auto" w:sz="4" w:space="0"/>
              <w:bottom w:val="single" w:color="auto" w:sz="4" w:space="0"/>
            </w:tcBorders>
            <w:vAlign w:val="center"/>
          </w:tcPr>
          <w:p>
            <w:pPr>
              <w:adjustRightInd w:val="0"/>
              <w:snapToGrid w:val="0"/>
              <w:spacing w:line="600" w:lineRule="exact"/>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评审标准</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356" w:type="dxa"/>
            <w:vMerge w:val="restart"/>
            <w:tcBorders>
              <w:top w:val="single" w:color="auto" w:sz="4" w:space="0"/>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形式评审</w:t>
            </w:r>
          </w:p>
        </w:tc>
        <w:tc>
          <w:tcPr>
            <w:tcW w:w="2127" w:type="dxa"/>
            <w:tcBorders>
              <w:top w:val="single" w:color="auto" w:sz="4" w:space="0"/>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响应函签字盖章</w:t>
            </w:r>
          </w:p>
        </w:tc>
        <w:tc>
          <w:tcPr>
            <w:tcW w:w="5528" w:type="dxa"/>
            <w:tcBorders>
              <w:top w:val="single" w:color="auto" w:sz="4" w:space="0"/>
              <w:bottom w:val="single" w:color="auto" w:sz="4" w:space="0"/>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有响应函，有法定代表人或其委托代理人签字并加盖单位章</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356" w:type="dxa"/>
            <w:vMerge w:val="continue"/>
            <w:vAlign w:val="center"/>
          </w:tcPr>
          <w:p>
            <w:pPr>
              <w:adjustRightInd w:val="0"/>
              <w:snapToGrid w:val="0"/>
              <w:jc w:val="center"/>
              <w:rPr>
                <w:rFonts w:hint="eastAsia" w:ascii="仿宋" w:hAnsi="仿宋" w:eastAsia="仿宋" w:cs="仿宋"/>
                <w:color w:val="auto"/>
                <w:sz w:val="24"/>
                <w:szCs w:val="24"/>
                <w:highlight w:val="none"/>
              </w:rPr>
            </w:pPr>
          </w:p>
        </w:tc>
        <w:tc>
          <w:tcPr>
            <w:tcW w:w="2127" w:type="dxa"/>
            <w:tcBorders>
              <w:top w:val="single" w:color="auto" w:sz="4" w:space="0"/>
              <w:bottom w:val="single" w:color="auto" w:sz="4" w:space="0"/>
            </w:tcBorders>
            <w:vAlign w:val="center"/>
          </w:tcPr>
          <w:p>
            <w:pPr>
              <w:adjustRightInd w:val="0"/>
              <w:snapToGrid w:val="0"/>
              <w:spacing w:line="600" w:lineRule="exact"/>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响应文件格式</w:t>
            </w:r>
          </w:p>
        </w:tc>
        <w:tc>
          <w:tcPr>
            <w:tcW w:w="5528" w:type="dxa"/>
            <w:tcBorders>
              <w:top w:val="single" w:color="auto" w:sz="4" w:space="0"/>
              <w:bottom w:val="single" w:color="auto" w:sz="4" w:space="0"/>
            </w:tcBorders>
            <w:vAlign w:val="center"/>
          </w:tcPr>
          <w:p>
            <w:pPr>
              <w:adjustRightInd w:val="0"/>
              <w:snapToGrid w:val="0"/>
              <w:spacing w:line="60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符合采购文件“响应文件格式”要求</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 w:hRule="atLeast"/>
        </w:trPr>
        <w:tc>
          <w:tcPr>
            <w:tcW w:w="1356" w:type="dxa"/>
            <w:vMerge w:val="continue"/>
            <w:vAlign w:val="center"/>
          </w:tcPr>
          <w:p>
            <w:pPr>
              <w:adjustRightInd w:val="0"/>
              <w:snapToGrid w:val="0"/>
              <w:jc w:val="center"/>
              <w:rPr>
                <w:rFonts w:hint="eastAsia" w:ascii="仿宋" w:hAnsi="仿宋" w:eastAsia="仿宋" w:cs="仿宋"/>
                <w:color w:val="auto"/>
                <w:sz w:val="24"/>
                <w:szCs w:val="24"/>
                <w:highlight w:val="none"/>
              </w:rPr>
            </w:pPr>
          </w:p>
        </w:tc>
        <w:tc>
          <w:tcPr>
            <w:tcW w:w="2127" w:type="dxa"/>
            <w:tcBorders>
              <w:top w:val="single" w:color="auto" w:sz="4" w:space="0"/>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报价唯一</w:t>
            </w:r>
          </w:p>
        </w:tc>
        <w:tc>
          <w:tcPr>
            <w:tcW w:w="5528" w:type="dxa"/>
            <w:tcBorders>
              <w:top w:val="single" w:color="auto" w:sz="4" w:space="0"/>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只能有一个有效报价，按采购文件规定提交备选方案除外</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restart"/>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资格评审</w:t>
            </w:r>
          </w:p>
        </w:tc>
        <w:tc>
          <w:tcPr>
            <w:tcW w:w="2127"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营业执照</w:t>
            </w:r>
          </w:p>
        </w:tc>
        <w:tc>
          <w:tcPr>
            <w:tcW w:w="5528" w:type="dxa"/>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报价单位须是在中华人民共和国境内注册的法人或其他组织，具有独立法人资格，持有事业单位登记管理部门核发的事业单位法人证书或工商行政管理部门核发的企业法人营业执照，且在有效期内。</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1" w:hRule="atLeast"/>
        </w:trPr>
        <w:tc>
          <w:tcPr>
            <w:tcW w:w="1356" w:type="dxa"/>
            <w:vMerge w:val="continue"/>
            <w:vAlign w:val="center"/>
          </w:tcPr>
          <w:p>
            <w:pPr>
              <w:adjustRightInd w:val="0"/>
              <w:snapToGrid w:val="0"/>
              <w:jc w:val="center"/>
              <w:rPr>
                <w:rFonts w:hint="eastAsia" w:ascii="仿宋" w:hAnsi="仿宋" w:eastAsia="仿宋" w:cs="仿宋"/>
                <w:color w:val="auto"/>
                <w:sz w:val="24"/>
                <w:szCs w:val="24"/>
                <w:highlight w:val="none"/>
              </w:rPr>
            </w:pPr>
          </w:p>
        </w:tc>
        <w:tc>
          <w:tcPr>
            <w:tcW w:w="2127"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供应商资格</w:t>
            </w:r>
          </w:p>
        </w:tc>
        <w:tc>
          <w:tcPr>
            <w:tcW w:w="5528" w:type="dxa"/>
            <w:tcBorders>
              <w:bottom w:val="single" w:color="auto" w:sz="4" w:space="0"/>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满足法律法规及采购文件供应商资格要求</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restart"/>
            <w:tcBorders>
              <w:top w:val="single" w:color="auto" w:sz="4" w:space="0"/>
              <w:bottom w:val="single" w:color="auto" w:sz="4" w:space="0"/>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响应性评审</w:t>
            </w:r>
          </w:p>
        </w:tc>
        <w:tc>
          <w:tcPr>
            <w:tcW w:w="2127" w:type="dxa"/>
            <w:tcBorders>
              <w:top w:val="single" w:color="auto" w:sz="4" w:space="0"/>
              <w:bottom w:val="single" w:color="auto" w:sz="4" w:space="0"/>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报价</w:t>
            </w:r>
          </w:p>
        </w:tc>
        <w:tc>
          <w:tcPr>
            <w:tcW w:w="5528" w:type="dxa"/>
            <w:tcBorders>
              <w:top w:val="single" w:color="auto" w:sz="4" w:space="0"/>
              <w:bottom w:val="single" w:color="auto" w:sz="4" w:space="0"/>
            </w:tcBorders>
            <w:vAlign w:val="center"/>
          </w:tcPr>
          <w:p>
            <w:pPr>
              <w:adjustRightInd w:val="0"/>
              <w:snapToGrid w:val="0"/>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rPr>
              <w:t>没有超过最高限价</w:t>
            </w:r>
            <w:r>
              <w:rPr>
                <w:rFonts w:hint="eastAsia" w:ascii="仿宋" w:hAnsi="仿宋" w:eastAsia="仿宋" w:cs="仿宋"/>
                <w:color w:val="auto"/>
                <w:sz w:val="24"/>
                <w:szCs w:val="24"/>
                <w:highlight w:val="none"/>
                <w:lang w:eastAsia="zh-CN"/>
              </w:rPr>
              <w:t>；若报价低于本项目最高限价的60%，必须说明报价理由。</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1356" w:type="dxa"/>
            <w:vMerge w:val="continue"/>
            <w:tcBorders>
              <w:top w:val="single" w:color="auto" w:sz="4" w:space="0"/>
              <w:bottom w:val="single" w:color="auto" w:sz="4" w:space="0"/>
            </w:tcBorders>
            <w:vAlign w:val="center"/>
          </w:tcPr>
          <w:p>
            <w:pPr>
              <w:adjustRightInd w:val="0"/>
              <w:snapToGrid w:val="0"/>
              <w:jc w:val="center"/>
              <w:rPr>
                <w:rFonts w:hint="eastAsia" w:ascii="仿宋" w:hAnsi="仿宋" w:eastAsia="仿宋" w:cs="仿宋"/>
                <w:color w:val="auto"/>
                <w:sz w:val="24"/>
                <w:szCs w:val="24"/>
                <w:highlight w:val="none"/>
              </w:rPr>
            </w:pPr>
          </w:p>
        </w:tc>
        <w:tc>
          <w:tcPr>
            <w:tcW w:w="2127" w:type="dxa"/>
            <w:tcBorders>
              <w:top w:val="single" w:color="auto" w:sz="4" w:space="0"/>
              <w:bottom w:val="single" w:color="auto" w:sz="4" w:space="0"/>
            </w:tcBorders>
            <w:vAlign w:val="center"/>
          </w:tcPr>
          <w:p>
            <w:pPr>
              <w:adjustRightInd w:val="0"/>
              <w:snapToGrid w:val="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其他</w:t>
            </w:r>
          </w:p>
        </w:tc>
        <w:tc>
          <w:tcPr>
            <w:tcW w:w="5528" w:type="dxa"/>
            <w:tcBorders>
              <w:top w:val="single" w:color="auto" w:sz="4" w:space="0"/>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采购文件要求必须提供的其他资料</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continue"/>
            <w:tcBorders>
              <w:top w:val="single" w:color="auto" w:sz="4" w:space="0"/>
              <w:bottom w:val="single" w:color="auto" w:sz="4" w:space="0"/>
            </w:tcBorders>
            <w:vAlign w:val="center"/>
          </w:tcPr>
          <w:p>
            <w:pPr>
              <w:adjustRightInd w:val="0"/>
              <w:snapToGrid w:val="0"/>
              <w:jc w:val="center"/>
              <w:rPr>
                <w:rFonts w:hint="eastAsia" w:ascii="仿宋" w:hAnsi="仿宋" w:eastAsia="仿宋" w:cs="仿宋"/>
                <w:color w:val="auto"/>
                <w:sz w:val="24"/>
                <w:szCs w:val="24"/>
                <w:highlight w:val="none"/>
              </w:rPr>
            </w:pPr>
          </w:p>
        </w:tc>
        <w:tc>
          <w:tcPr>
            <w:tcW w:w="2127" w:type="dxa"/>
            <w:tcBorders>
              <w:top w:val="single" w:color="auto" w:sz="4" w:space="0"/>
              <w:bottom w:val="single" w:color="auto" w:sz="4" w:space="0"/>
            </w:tcBorders>
            <w:vAlign w:val="center"/>
          </w:tcPr>
          <w:p>
            <w:pPr>
              <w:adjustRightInd w:val="0"/>
              <w:snapToGrid w:val="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其他无效响应</w:t>
            </w:r>
          </w:p>
        </w:tc>
        <w:tc>
          <w:tcPr>
            <w:tcW w:w="5528" w:type="dxa"/>
            <w:tcBorders>
              <w:top w:val="single" w:color="auto" w:sz="4" w:space="0"/>
              <w:bottom w:val="single" w:color="auto" w:sz="4" w:space="0"/>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无法律法规及采购文件规定的其他无效响应内容</w:t>
            </w:r>
          </w:p>
        </w:tc>
      </w:tr>
    </w:tbl>
    <w:p>
      <w:pPr>
        <w:spacing w:line="400" w:lineRule="exact"/>
        <w:jc w:val="left"/>
        <w:rPr>
          <w:rFonts w:hint="eastAsia" w:ascii="仿宋" w:hAnsi="仿宋" w:eastAsia="仿宋" w:cs="仿宋"/>
          <w:color w:val="auto"/>
          <w:highlight w:val="none"/>
        </w:rPr>
      </w:pPr>
      <w:r>
        <w:rPr>
          <w:rFonts w:hint="eastAsia" w:ascii="仿宋" w:hAnsi="仿宋" w:eastAsia="仿宋" w:cs="仿宋"/>
          <w:color w:val="auto"/>
          <w:szCs w:val="21"/>
          <w:highlight w:val="none"/>
        </w:rPr>
        <w:t>说明：初步评审活动依照</w:t>
      </w:r>
      <w:r>
        <w:rPr>
          <w:rFonts w:hint="eastAsia" w:ascii="仿宋" w:hAnsi="仿宋" w:eastAsia="仿宋" w:cs="仿宋"/>
          <w:color w:val="auto"/>
          <w:szCs w:val="21"/>
          <w:highlight w:val="none"/>
          <w:lang w:val="en-US" w:eastAsia="zh-CN"/>
        </w:rPr>
        <w:t>形式评审、</w:t>
      </w:r>
      <w:r>
        <w:rPr>
          <w:rFonts w:hint="eastAsia" w:ascii="仿宋" w:hAnsi="仿宋" w:eastAsia="仿宋" w:cs="仿宋"/>
          <w:color w:val="auto"/>
          <w:szCs w:val="21"/>
          <w:highlight w:val="none"/>
        </w:rPr>
        <w:t>资格评审、响应性评审顺序进行，前一个环节不符合采购文件要求的不得进入下一个环节。</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2.2澄清补正</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2.2.1响应报价有算术错误的，评审小组按以下原则对响应报价进行修正，修正的价格经供应商书面确认后具有约束力。供应商不接受修正价格的，评审小组应当否决其响应。</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（1）响应文件中的大写金额与小写金额不一致的，以大写金额为准。</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（2）总价金额与依据单价计算出的结果不一致的，以单价金额为准修正总价，但单价金额小数点有明显错误的除外。</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（3）采购文件中有规定固定费率标准或固定金额的，或者有固定费率标准或固定金额的计算公式的，应按规定填报，否则由评审小组按照采购文件规定的费率、金额或者其计算公式进行修正</w:t>
      </w:r>
      <w:r>
        <w:rPr>
          <w:rFonts w:hint="eastAsia" w:ascii="仿宋" w:hAnsi="仿宋" w:eastAsia="仿宋" w:cs="仿宋"/>
          <w:color w:val="auto"/>
          <w:sz w:val="28"/>
          <w:szCs w:val="28"/>
          <w:highlight w:val="none"/>
          <w:lang w:val="en-US" w:eastAsia="zh-CN"/>
        </w:rPr>
        <w:t>或</w:t>
      </w:r>
      <w:r>
        <w:rPr>
          <w:rFonts w:hint="eastAsia" w:ascii="仿宋" w:hAnsi="仿宋" w:eastAsia="仿宋" w:cs="仿宋"/>
          <w:color w:val="auto"/>
          <w:sz w:val="28"/>
          <w:szCs w:val="28"/>
          <w:highlight w:val="none"/>
        </w:rPr>
        <w:t>否决其响应。</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2.2.2响应文件存在含义不清、针对同一事项前后表述不一致、明显文字或计算错误的，评审小组可以要求供应商进行澄清、说明和补正，澄清、说明和补正不得超出响应文件的范围或改变响应文件的实质性内容，超出部分不作为评审小组相应评审的依据</w:t>
      </w:r>
      <w:r>
        <w:rPr>
          <w:rFonts w:hint="eastAsia" w:ascii="仿宋" w:hAnsi="仿宋" w:eastAsia="仿宋" w:cs="仿宋"/>
          <w:color w:val="auto"/>
          <w:sz w:val="28"/>
          <w:szCs w:val="28"/>
          <w:highlight w:val="none"/>
          <w:lang w:val="en-US" w:eastAsia="zh-CN"/>
        </w:rPr>
        <w:t>或</w:t>
      </w:r>
      <w:r>
        <w:rPr>
          <w:rFonts w:hint="eastAsia" w:ascii="仿宋" w:hAnsi="仿宋" w:eastAsia="仿宋" w:cs="仿宋"/>
          <w:color w:val="auto"/>
          <w:sz w:val="28"/>
          <w:szCs w:val="28"/>
          <w:highlight w:val="none"/>
        </w:rPr>
        <w:t>否决其响应。</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2.3评审结果 评审后，评审价格最低的供应商为成交供应商。如评审价格相同，可由评审小组根据评审情况以记名投票方式确定供应商排名，并将推荐理由写入评审报告。</w:t>
      </w:r>
    </w:p>
    <w:p>
      <w:pPr>
        <w:adjustRightInd w:val="0"/>
        <w:snapToGrid w:val="0"/>
        <w:spacing w:line="600" w:lineRule="exact"/>
        <w:jc w:val="left"/>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ind w:left="0" w:leftChars="0" w:firstLine="0" w:firstLineChars="0"/>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pStyle w:val="2"/>
        <w:rPr>
          <w:rFonts w:hint="eastAsia"/>
          <w:color w:val="auto"/>
          <w:highlight w:val="none"/>
        </w:rPr>
      </w:pPr>
      <w:bookmarkStart w:id="60" w:name="_Toc88209947"/>
    </w:p>
    <w:p>
      <w:pPr>
        <w:rPr>
          <w:rFonts w:hint="eastAsia"/>
          <w:color w:val="auto"/>
          <w:highlight w:val="none"/>
        </w:rPr>
      </w:pPr>
    </w:p>
    <w:p>
      <w:pPr>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color w:val="auto"/>
          <w:highlight w:val="none"/>
        </w:rPr>
      </w:pPr>
      <w:r>
        <w:rPr>
          <w:color w:val="auto"/>
          <w:highlight w:val="none"/>
        </w:rPr>
        <mc:AlternateContent>
          <mc:Choice Requires="wps">
            <w:drawing>
              <wp:anchor distT="0" distB="0" distL="114300" distR="114300" simplePos="0" relativeHeight="251672576" behindDoc="0" locked="0" layoutInCell="1" allowOverlap="1">
                <wp:simplePos x="0" y="0"/>
                <wp:positionH relativeFrom="column">
                  <wp:posOffset>2340610</wp:posOffset>
                </wp:positionH>
                <wp:positionV relativeFrom="paragraph">
                  <wp:posOffset>545465</wp:posOffset>
                </wp:positionV>
                <wp:extent cx="958850" cy="0"/>
                <wp:effectExtent l="0" t="0" r="0" b="0"/>
                <wp:wrapNone/>
                <wp:docPr id="16" name="自选图形 24"/>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24" o:spid="_x0000_s1026" o:spt="32" type="#_x0000_t32" style="position:absolute;left:0pt;margin-left:184.3pt;margin-top:42.95pt;height:0pt;width:75.5pt;z-index:251672576;mso-width-relative:page;mso-height-relative:page;" filled="f" stroked="t" coordsize="21600,21600" o:gfxdata="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sDxnT1gAAAAkBAAAPAAAAAAAAAAEAIAAAACIAAABkcnMvZG93bnJldi54bWxQSwECFAAU&#10;AAAACACHTuJAKY52sPMBAADkAwAADgAAAAAAAAABACAAAAAlAQAAZHJzL2Uyb0RvYy54bWxQSwUG&#10;AAAAAAYABgBZAQAAigU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71552" behindDoc="0" locked="0" layoutInCell="1" allowOverlap="1">
                <wp:simplePos x="0" y="0"/>
                <wp:positionH relativeFrom="column">
                  <wp:posOffset>2329180</wp:posOffset>
                </wp:positionH>
                <wp:positionV relativeFrom="paragraph">
                  <wp:posOffset>60325</wp:posOffset>
                </wp:positionV>
                <wp:extent cx="958850" cy="0"/>
                <wp:effectExtent l="0" t="0" r="0" b="0"/>
                <wp:wrapNone/>
                <wp:docPr id="15" name="自选图形 25"/>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25" o:spid="_x0000_s1026" o:spt="32" type="#_x0000_t32" style="position:absolute;left:0pt;margin-left:183.4pt;margin-top:4.75pt;height:0pt;width:75.5pt;z-index:251671552;mso-width-relative:page;mso-height-relative:page;" filled="f" stroked="t" coordsize="21600,21600" o:gfxdata="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RLkkQ1AAAAAcBAAAPAAAAAAAAAAEAIAAAACIAAABkcnMvZG93bnJldi54bWxQSwECFAAUAAAA&#10;CACHTuJAXMu1X/IBAADkAwAADgAAAAAAAAABACAAAAAjAQAAZHJzL2Uyb0RvYy54bWxQSwUGAAAA&#10;AAYABgBZAQAAhwUAAAAA&#10;">
                <v:fill on="f" focussize="0,0"/>
                <v:stroke color="#000000" joinstyle="round"/>
                <v:imagedata o:title=""/>
                <o:lock v:ext="edit" aspectratio="f"/>
              </v:shape>
            </w:pict>
          </mc:Fallback>
        </mc:AlternateContent>
      </w:r>
      <w:r>
        <w:rPr>
          <w:rFonts w:hint="eastAsia"/>
          <w:color w:val="auto"/>
          <w:highlight w:val="none"/>
        </w:rPr>
        <w:t>第</w:t>
      </w:r>
      <w:r>
        <w:rPr>
          <w:rFonts w:hint="eastAsia"/>
          <w:color w:val="auto"/>
          <w:highlight w:val="none"/>
          <w:lang w:val="en-US" w:eastAsia="zh-CN"/>
        </w:rPr>
        <w:t>五</w:t>
      </w:r>
      <w:r>
        <w:rPr>
          <w:rFonts w:hint="eastAsia"/>
          <w:color w:val="auto"/>
          <w:highlight w:val="none"/>
        </w:rPr>
        <w:t>章</w:t>
      </w:r>
    </w:p>
    <w:p>
      <w:pPr>
        <w:pStyle w:val="3"/>
        <w:rPr>
          <w:rFonts w:hint="eastAsia"/>
          <w:color w:val="auto"/>
          <w:highlight w:val="none"/>
        </w:rPr>
      </w:pPr>
    </w:p>
    <w:p>
      <w:pPr>
        <w:pStyle w:val="3"/>
        <w:rPr>
          <w:rFonts w:hint="eastAsia"/>
          <w:color w:val="auto"/>
          <w:szCs w:val="44"/>
          <w:highlight w:val="none"/>
        </w:rPr>
      </w:pPr>
      <w:r>
        <w:rPr>
          <w:rFonts w:hint="eastAsia"/>
          <w:color w:val="auto"/>
          <w:szCs w:val="44"/>
          <w:highlight w:val="none"/>
        </w:rPr>
        <w:t>采购需求</w:t>
      </w:r>
    </w:p>
    <w:p>
      <w:pPr>
        <w:pStyle w:val="3"/>
        <w:rPr>
          <w:rFonts w:hint="eastAsia"/>
        </w:rPr>
      </w:pPr>
    </w:p>
    <w:p>
      <w:pPr>
        <w:pStyle w:val="3"/>
        <w:rPr>
          <w:rFonts w:hint="eastAsia"/>
        </w:rPr>
      </w:pPr>
    </w:p>
    <w:p>
      <w:pPr>
        <w:pStyle w:val="3"/>
        <w:rPr>
          <w:rFonts w:hint="eastAsia"/>
        </w:rPr>
      </w:pPr>
    </w:p>
    <w:p>
      <w:pPr>
        <w:pStyle w:val="3"/>
        <w:rPr>
          <w:rFonts w:hint="eastAsia"/>
        </w:rPr>
      </w:pPr>
    </w:p>
    <w:p>
      <w:pPr>
        <w:pStyle w:val="3"/>
        <w:rPr>
          <w:rFonts w:hint="eastAsia"/>
        </w:rPr>
      </w:pPr>
    </w:p>
    <w:p>
      <w:pPr>
        <w:pStyle w:val="3"/>
        <w:rPr>
          <w:rFonts w:hint="eastAsia"/>
        </w:rPr>
      </w:pPr>
    </w:p>
    <w:p>
      <w:pPr>
        <w:pStyle w:val="3"/>
        <w:rPr>
          <w:rFonts w:hint="eastAsia"/>
        </w:rPr>
      </w:pPr>
    </w:p>
    <w:p>
      <w:pPr>
        <w:pStyle w:val="3"/>
        <w:rPr>
          <w:rFonts w:hint="eastAsia"/>
        </w:rPr>
      </w:pPr>
    </w:p>
    <w:p>
      <w:pPr>
        <w:rPr>
          <w:rFonts w:hint="eastAsia" w:ascii="仿宋" w:hAnsi="仿宋" w:eastAsia="仿宋" w:cs="仿宋"/>
          <w:color w:val="auto"/>
          <w:sz w:val="32"/>
          <w:szCs w:val="32"/>
          <w:highlight w:val="none"/>
          <w:u w:val="none"/>
          <w:lang w:val="en-US" w:eastAsia="zh-CN"/>
        </w:rPr>
      </w:pPr>
      <w:r>
        <w:rPr>
          <w:rFonts w:hint="eastAsia" w:ascii="仿宋" w:hAnsi="仿宋" w:eastAsia="仿宋" w:cs="仿宋"/>
          <w:color w:val="auto"/>
          <w:sz w:val="32"/>
          <w:szCs w:val="32"/>
          <w:highlight w:val="none"/>
          <w:u w:val="none"/>
          <w:lang w:val="en-US" w:eastAsia="zh-CN"/>
        </w:rPr>
        <w:t>（一）项目说明</w:t>
      </w:r>
    </w:p>
    <w:p>
      <w:pPr>
        <w:adjustRightInd w:val="0"/>
        <w:snapToGrid w:val="0"/>
        <w:spacing w:line="600" w:lineRule="exact"/>
        <w:jc w:val="left"/>
        <w:rPr>
          <w:rFonts w:hint="eastAsia" w:ascii="仿宋" w:hAnsi="仿宋" w:eastAsia="仿宋" w:cs="仿宋"/>
          <w:b/>
          <w:bCs/>
          <w:color w:val="auto"/>
          <w:sz w:val="28"/>
          <w:szCs w:val="28"/>
          <w:highlight w:val="none"/>
          <w:u w:val="none"/>
          <w:lang w:val="en-US" w:eastAsia="zh-CN"/>
        </w:rPr>
      </w:pPr>
      <w:r>
        <w:rPr>
          <w:rFonts w:hint="eastAsia" w:ascii="仿宋" w:hAnsi="仿宋" w:eastAsia="仿宋" w:cs="仿宋"/>
          <w:b/>
          <w:bCs/>
          <w:color w:val="auto"/>
          <w:sz w:val="28"/>
          <w:szCs w:val="28"/>
          <w:highlight w:val="none"/>
          <w:u w:val="none"/>
          <w:lang w:val="en-US" w:eastAsia="zh-CN"/>
        </w:rPr>
        <w:t>项目一：</w:t>
      </w:r>
      <w:r>
        <w:rPr>
          <w:rFonts w:hint="eastAsia" w:ascii="仿宋" w:hAnsi="仿宋" w:eastAsia="仿宋" w:cs="仿宋"/>
          <w:b/>
          <w:bCs/>
          <w:color w:val="auto"/>
          <w:sz w:val="28"/>
          <w:szCs w:val="28"/>
          <w:highlight w:val="none"/>
          <w:u w:val="none"/>
        </w:rPr>
        <w:t>大坦沙分公司三期滤池超越阀电动执行器优化等项目</w:t>
      </w:r>
    </w:p>
    <w:p>
      <w:pPr>
        <w:pStyle w:val="13"/>
        <w:numPr>
          <w:ilvl w:val="-1"/>
          <w:numId w:val="0"/>
        </w:numPr>
        <w:adjustRightInd w:val="0"/>
        <w:snapToGrid w:val="0"/>
        <w:spacing w:line="360" w:lineRule="auto"/>
        <w:ind w:left="420" w:leftChars="200" w:firstLine="0" w:firstLineChars="0"/>
        <w:rPr>
          <w:rFonts w:hint="eastAsia" w:ascii="仿宋" w:hAnsi="仿宋" w:eastAsia="仿宋" w:cs="仿宋"/>
          <w:b/>
          <w:color w:val="000000"/>
          <w:sz w:val="28"/>
          <w:szCs w:val="28"/>
          <w:lang w:val="zh-CN" w:eastAsia="zh-CN"/>
        </w:rPr>
      </w:pPr>
      <w:r>
        <w:rPr>
          <w:rFonts w:hint="eastAsia" w:ascii="仿宋" w:hAnsi="仿宋" w:eastAsia="仿宋" w:cs="仿宋"/>
          <w:b/>
          <w:color w:val="000000"/>
          <w:sz w:val="28"/>
          <w:szCs w:val="28"/>
          <w:lang w:val="en-US" w:eastAsia="zh-CN"/>
        </w:rPr>
        <w:t>一、</w:t>
      </w:r>
      <w:r>
        <w:rPr>
          <w:rFonts w:hint="eastAsia" w:ascii="仿宋" w:hAnsi="仿宋" w:eastAsia="仿宋" w:cs="仿宋"/>
          <w:b/>
          <w:color w:val="000000"/>
          <w:sz w:val="28"/>
          <w:szCs w:val="28"/>
          <w:lang w:val="zh-CN"/>
        </w:rPr>
        <w:t>项目情况介绍</w:t>
      </w:r>
    </w:p>
    <w:bookmarkEnd w:id="60"/>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kern w:val="0"/>
          <w:sz w:val="28"/>
          <w:szCs w:val="28"/>
          <w:lang w:val="en-US" w:eastAsia="zh-CN"/>
        </w:rPr>
      </w:pPr>
      <w:bookmarkStart w:id="61" w:name="_Toc1496"/>
      <w:bookmarkStart w:id="62" w:name="_Toc23330"/>
      <w:bookmarkStart w:id="63" w:name="_Toc15570"/>
      <w:bookmarkStart w:id="64" w:name="_Toc18538"/>
      <w:bookmarkStart w:id="65" w:name="_Toc4680"/>
      <w:bookmarkStart w:id="66" w:name="_Toc23353"/>
      <w:bookmarkStart w:id="67" w:name="_Toc29835"/>
      <w:bookmarkStart w:id="68" w:name="_Toc537"/>
      <w:bookmarkStart w:id="69" w:name="_Toc25925"/>
      <w:bookmarkStart w:id="70" w:name="_Toc1284"/>
      <w:bookmarkStart w:id="71" w:name="_Toc12135"/>
      <w:r>
        <w:rPr>
          <w:rFonts w:hint="eastAsia" w:ascii="仿宋" w:hAnsi="仿宋" w:eastAsia="仿宋" w:cs="仿宋"/>
          <w:kern w:val="0"/>
          <w:sz w:val="28"/>
          <w:szCs w:val="28"/>
          <w:lang w:val="en-US" w:eastAsia="zh-CN"/>
        </w:rPr>
        <w:t>现大坦沙分公司三期滤池超越阀、出水阀、总超越阀等阀门由于电动执行器安装在阀门井内，阀门井盖板为格栅网，当雨季期间阀门井满水令执行器浸泡在水中，出现电动执行器电气元件故障、内部线路生锈等情况，因此需要更换三期滤池超越阀、出水阀、总超越阀等阀门的电动执行器并更换阀门井盖板。</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kern w:val="0"/>
          <w:sz w:val="28"/>
          <w:szCs w:val="28"/>
          <w:lang w:val="en-US" w:eastAsia="zh-CN"/>
        </w:rPr>
      </w:pPr>
      <w:r>
        <w:rPr>
          <w:rFonts w:hint="eastAsia" w:ascii="仿宋" w:hAnsi="仿宋" w:eastAsia="仿宋" w:cs="仿宋"/>
          <w:kern w:val="0"/>
          <w:sz w:val="28"/>
          <w:szCs w:val="28"/>
          <w:lang w:val="en-US" w:eastAsia="zh-CN"/>
        </w:rPr>
        <w:t>另一二期10#鼓风机出风阀由于执行器安装在阀门井内，阀门井内温度很高，一旦要调节非常麻烦，因此需要更换带加长杆电动执行器。</w:t>
      </w:r>
    </w:p>
    <w:p>
      <w:pPr>
        <w:pStyle w:val="13"/>
        <w:numPr>
          <w:ilvl w:val="-1"/>
          <w:numId w:val="0"/>
        </w:numPr>
        <w:adjustRightInd w:val="0"/>
        <w:snapToGrid w:val="0"/>
        <w:spacing w:line="360" w:lineRule="auto"/>
        <w:ind w:left="420" w:leftChars="200" w:firstLine="0" w:firstLineChars="0"/>
        <w:rPr>
          <w:rFonts w:hint="eastAsia" w:ascii="仿宋" w:hAnsi="仿宋" w:eastAsia="仿宋" w:cs="仿宋"/>
          <w:b/>
          <w:color w:val="000000"/>
          <w:sz w:val="28"/>
          <w:szCs w:val="28"/>
          <w:lang w:val="zh-CN" w:eastAsia="zh-CN"/>
        </w:rPr>
      </w:pPr>
      <w:r>
        <w:rPr>
          <w:rFonts w:hint="eastAsia" w:ascii="仿宋" w:hAnsi="仿宋" w:eastAsia="仿宋" w:cs="仿宋"/>
          <w:b/>
          <w:color w:val="000000"/>
          <w:sz w:val="28"/>
          <w:szCs w:val="28"/>
          <w:lang w:val="en-US" w:eastAsia="zh-CN"/>
        </w:rPr>
        <w:t>二、实施内容</w:t>
      </w:r>
    </w:p>
    <w:p>
      <w:pPr>
        <w:spacing w:line="360" w:lineRule="auto"/>
        <w:ind w:firstLine="64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3017520" cy="2501265"/>
            <wp:effectExtent l="0" t="0" r="11430" b="13335"/>
            <wp:docPr id="21" name="图片 1" descr="cab03e76cbec635d517bb5cd5a3fc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descr="cab03e76cbec635d517bb5cd5a3fcef"/>
                    <pic:cNvPicPr>
                      <a:picLocks noChangeAspect="1"/>
                    </pic:cNvPicPr>
                  </pic:nvPicPr>
                  <pic:blipFill>
                    <a:blip r:embed="rId8"/>
                    <a:stretch>
                      <a:fillRect/>
                    </a:stretch>
                  </pic:blipFill>
                  <pic:spPr>
                    <a:xfrm>
                      <a:off x="0" y="0"/>
                      <a:ext cx="3017520" cy="250126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1539875" cy="2060575"/>
            <wp:effectExtent l="0" t="0" r="3175" b="15875"/>
            <wp:docPr id="25" name="图片 2" descr="64335473c993c6f3a2f085d6f797f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descr="64335473c993c6f3a2f085d6f797fed"/>
                    <pic:cNvPicPr>
                      <a:picLocks noChangeAspect="1"/>
                    </pic:cNvPicPr>
                  </pic:nvPicPr>
                  <pic:blipFill>
                    <a:blip r:embed="rId9"/>
                    <a:stretch>
                      <a:fillRect/>
                    </a:stretch>
                  </pic:blipFill>
                  <pic:spPr>
                    <a:xfrm>
                      <a:off x="0" y="0"/>
                      <a:ext cx="1539875" cy="206057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二期滤池出水阀</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1815465" cy="2520315"/>
            <wp:effectExtent l="0" t="0" r="13335" b="13335"/>
            <wp:docPr id="22" name="图片 3" descr="bb5f8808f2e1bc4fee125d8b476fa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descr="bb5f8808f2e1bc4fee125d8b476fad9"/>
                    <pic:cNvPicPr>
                      <a:picLocks noChangeAspect="1"/>
                    </pic:cNvPicPr>
                  </pic:nvPicPr>
                  <pic:blipFill>
                    <a:blip r:embed="rId10"/>
                    <a:srcRect l="11826" r="18672" b="17990"/>
                    <a:stretch>
                      <a:fillRect/>
                    </a:stretch>
                  </pic:blipFill>
                  <pic:spPr>
                    <a:xfrm>
                      <a:off x="0" y="0"/>
                      <a:ext cx="1815465" cy="252031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三期滤池超越阀（超越滤池至接触池）</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2971800" cy="2113280"/>
            <wp:effectExtent l="0" t="0" r="0" b="1270"/>
            <wp:docPr id="20" name="图片 4" descr="d915b4f90c39d3780599f7720b7f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descr="d915b4f90c39d3780599f7720b7f181"/>
                    <pic:cNvPicPr>
                      <a:picLocks noChangeAspect="1"/>
                    </pic:cNvPicPr>
                  </pic:nvPicPr>
                  <pic:blipFill>
                    <a:blip r:embed="rId11"/>
                    <a:srcRect t="19577" b="21693"/>
                    <a:stretch>
                      <a:fillRect/>
                    </a:stretch>
                  </pic:blipFill>
                  <pic:spPr>
                    <a:xfrm>
                      <a:off x="0" y="0"/>
                      <a:ext cx="2971800" cy="2113280"/>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三期滤池出水阀</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2263775" cy="2392045"/>
            <wp:effectExtent l="0" t="0" r="3175" b="8255"/>
            <wp:docPr id="24" name="图片 5" descr="2380930833673c1ae93653503539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descr="2380930833673c1ae93653503539e02"/>
                    <pic:cNvPicPr>
                      <a:picLocks noChangeAspect="1"/>
                    </pic:cNvPicPr>
                  </pic:nvPicPr>
                  <pic:blipFill>
                    <a:blip r:embed="rId12"/>
                    <a:srcRect l="25885" t="10052" b="27513"/>
                    <a:stretch>
                      <a:fillRect/>
                    </a:stretch>
                  </pic:blipFill>
                  <pic:spPr>
                    <a:xfrm>
                      <a:off x="0" y="0"/>
                      <a:ext cx="2263775" cy="239204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三期滤池总超越阀（超越滤池及接触池）</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2168525" cy="2891790"/>
            <wp:effectExtent l="0" t="0" r="3175" b="3810"/>
            <wp:docPr id="23" name="图片 6" descr="5ab0d02fe9d64c62057716079cd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descr="5ab0d02fe9d64c62057716079cd0716"/>
                    <pic:cNvPicPr>
                      <a:picLocks noChangeAspect="1"/>
                    </pic:cNvPicPr>
                  </pic:nvPicPr>
                  <pic:blipFill>
                    <a:blip r:embed="rId13"/>
                    <a:stretch>
                      <a:fillRect/>
                    </a:stretch>
                  </pic:blipFill>
                  <pic:spPr>
                    <a:xfrm>
                      <a:off x="0" y="0"/>
                      <a:ext cx="2168525" cy="2891790"/>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一二期10#鼓风机出风阀</w:t>
      </w:r>
    </w:p>
    <w:p>
      <w:pPr>
        <w:numPr>
          <w:ilvl w:val="0"/>
          <w:numId w:val="5"/>
        </w:numPr>
        <w:spacing w:line="360" w:lineRule="auto"/>
        <w:ind w:firstLine="630" w:firstLineChars="225"/>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更换二期滤池超越阀、出水阀，三期滤池超越阀、出水阀、总超越阀电动执行器，更换为IP67防水等级、配加热功能、配3m加长杆的电动执行器；</w:t>
      </w:r>
    </w:p>
    <w:p>
      <w:pPr>
        <w:numPr>
          <w:ilvl w:val="0"/>
          <w:numId w:val="5"/>
        </w:numPr>
        <w:spacing w:line="360" w:lineRule="auto"/>
        <w:ind w:firstLine="630" w:firstLineChars="225"/>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二期滤池超越阀敷设远程控制电缆、开度反馈信号等至二期滤池低压电房；</w:t>
      </w:r>
    </w:p>
    <w:p>
      <w:pPr>
        <w:numPr>
          <w:ilvl w:val="0"/>
          <w:numId w:val="5"/>
        </w:numPr>
        <w:spacing w:line="360" w:lineRule="auto"/>
        <w:ind w:firstLine="630" w:firstLineChars="225"/>
        <w:rPr>
          <w:rFonts w:hint="eastAsia" w:ascii="仿宋" w:hAnsi="仿宋" w:eastAsia="仿宋" w:cs="仿宋"/>
          <w:kern w:val="0"/>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更换二期滤池超越阀、出水阀，三期滤池超越阀、出水阀、总超越阀阀门井盖板，更换为花纹不锈钢板；</w:t>
      </w:r>
    </w:p>
    <w:p>
      <w:pPr>
        <w:numPr>
          <w:ilvl w:val="0"/>
          <w:numId w:val="5"/>
        </w:numPr>
        <w:spacing w:line="360" w:lineRule="auto"/>
        <w:ind w:firstLine="630" w:firstLineChars="225"/>
        <w:rPr>
          <w:rFonts w:hint="eastAsia" w:ascii="仿宋" w:hAnsi="仿宋" w:eastAsia="仿宋" w:cs="仿宋"/>
          <w:kern w:val="0"/>
          <w:sz w:val="28"/>
          <w:szCs w:val="28"/>
          <w:lang w:val="en-US" w:eastAsia="zh-CN"/>
        </w:rPr>
      </w:pPr>
      <w:r>
        <w:rPr>
          <w:rFonts w:hint="eastAsia" w:ascii="仿宋" w:hAnsi="仿宋" w:eastAsia="仿宋" w:cs="仿宋"/>
          <w:sz w:val="28"/>
          <w:szCs w:val="28"/>
          <w:lang w:val="en-US" w:eastAsia="zh-CN"/>
        </w:rPr>
        <w:t>更换一二期10#鼓风机出风阀电动执行器，更换为带2.5米延长杆IP67 防水等级电动执行器，并扩建阀门井口更换阀门井盖板。</w:t>
      </w:r>
    </w:p>
    <w:p>
      <w:pPr>
        <w:pStyle w:val="13"/>
        <w:numPr>
          <w:ilvl w:val="-1"/>
          <w:numId w:val="0"/>
        </w:numPr>
        <w:adjustRightInd w:val="0"/>
        <w:snapToGrid w:val="0"/>
        <w:spacing w:line="360" w:lineRule="auto"/>
        <w:ind w:left="420" w:leftChars="200" w:firstLine="0" w:firstLineChars="0"/>
        <w:rPr>
          <w:rFonts w:hint="eastAsia" w:ascii="仿宋" w:hAnsi="仿宋" w:eastAsia="仿宋" w:cs="仿宋"/>
          <w:b/>
          <w:color w:val="000000"/>
          <w:sz w:val="28"/>
          <w:szCs w:val="28"/>
          <w:lang w:val="zh-CN" w:eastAsia="zh-CN"/>
        </w:rPr>
      </w:pPr>
      <w:r>
        <w:rPr>
          <w:rFonts w:hint="eastAsia" w:ascii="仿宋" w:hAnsi="仿宋" w:eastAsia="仿宋" w:cs="仿宋"/>
          <w:b/>
          <w:color w:val="000000"/>
          <w:sz w:val="28"/>
          <w:szCs w:val="28"/>
          <w:lang w:val="en-US" w:eastAsia="zh-CN"/>
        </w:rPr>
        <w:t>二、实施方案</w:t>
      </w:r>
    </w:p>
    <w:p>
      <w:pPr>
        <w:numPr>
          <w:ilvl w:val="0"/>
          <w:numId w:val="0"/>
        </w:numPr>
        <w:spacing w:line="360" w:lineRule="auto"/>
        <w:ind w:left="420" w:leftChars="0"/>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148455" cy="3140710"/>
            <wp:effectExtent l="0" t="0" r="4445" b="2540"/>
            <wp:docPr id="26" name="图片 7" descr="二期滤池超越阀自控信号线走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descr="二期滤池超越阀自控信号线走向"/>
                    <pic:cNvPicPr>
                      <a:picLocks noChangeAspect="1"/>
                    </pic:cNvPicPr>
                  </pic:nvPicPr>
                  <pic:blipFill>
                    <a:blip r:embed="rId14"/>
                    <a:stretch>
                      <a:fillRect/>
                    </a:stretch>
                  </pic:blipFill>
                  <pic:spPr>
                    <a:xfrm>
                      <a:off x="0" y="0"/>
                      <a:ext cx="4148455" cy="3140710"/>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二期滤池超越阀远程控制电缆走向图</w:t>
      </w:r>
    </w:p>
    <w:p>
      <w:pPr>
        <w:numPr>
          <w:ilvl w:val="0"/>
          <w:numId w:val="6"/>
        </w:numPr>
        <w:spacing w:line="360" w:lineRule="auto"/>
        <w:ind w:left="0" w:leftChars="0" w:firstLine="42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更换二期滤池超越阀、出水阀，三期滤池超越阀、出水阀、总超越阀电动执行器：</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拆除原阀门电动执行器螺栓及接线端，使用1t电动葫芦吊起原执行器；</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吊装更换新电动执行器：二期滤池超越阀（DN1400）、出水阀(DN1400)电动执行器SM30/SC02-S(2:1)、三期滤池超越阀(DN2000)、出水阀(DN2000)、总超越阀(DN2000)电动执行器SM50/SC02-S(4:1)，电动执行器要求IP67防水等级、配加热功能、3m加长杆及对应耦合器;</w:t>
      </w:r>
    </w:p>
    <w:p>
      <w:pPr>
        <w:pStyle w:val="5"/>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4678680" cy="3211195"/>
            <wp:effectExtent l="0" t="0" r="7620" b="8255"/>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15"/>
                    <a:stretch>
                      <a:fillRect/>
                    </a:stretch>
                  </pic:blipFill>
                  <pic:spPr>
                    <a:xfrm>
                      <a:off x="0" y="0"/>
                      <a:ext cx="4678680" cy="321119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二期滤池超越阀、出水阀电动执行器</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5270500" cy="3709035"/>
            <wp:effectExtent l="0" t="0" r="6350" b="5715"/>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16"/>
                    <a:stretch>
                      <a:fillRect/>
                    </a:stretch>
                  </pic:blipFill>
                  <pic:spPr>
                    <a:xfrm>
                      <a:off x="0" y="0"/>
                      <a:ext cx="5270500" cy="370903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三期滤池超越阀、出水阀、总超越阀电动执行器</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电动执行器接线端子接入；</w:t>
      </w:r>
    </w:p>
    <w:p>
      <w:pPr>
        <w:numPr>
          <w:ilvl w:val="0"/>
          <w:numId w:val="0"/>
        </w:numPr>
        <w:spacing w:line="360" w:lineRule="auto"/>
        <w:ind w:left="420" w:leftChars="0"/>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148455" cy="3140710"/>
            <wp:effectExtent l="0" t="0" r="4445" b="2540"/>
            <wp:docPr id="30" name="图片 10" descr="二期滤池超越阀自控信号线走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descr="二期滤池超越阀自控信号线走向"/>
                    <pic:cNvPicPr>
                      <a:picLocks noChangeAspect="1"/>
                    </pic:cNvPicPr>
                  </pic:nvPicPr>
                  <pic:blipFill>
                    <a:blip r:embed="rId14"/>
                    <a:stretch>
                      <a:fillRect/>
                    </a:stretch>
                  </pic:blipFill>
                  <pic:spPr>
                    <a:xfrm>
                      <a:off x="0" y="0"/>
                      <a:ext cx="4148455" cy="3140710"/>
                    </a:xfrm>
                    <a:prstGeom prst="rect">
                      <a:avLst/>
                    </a:prstGeom>
                    <a:noFill/>
                    <a:ln>
                      <a:noFill/>
                    </a:ln>
                  </pic:spPr>
                </pic:pic>
              </a:graphicData>
            </a:graphic>
          </wp:inline>
        </w:drawing>
      </w:r>
    </w:p>
    <w:p>
      <w:pPr>
        <w:numPr>
          <w:ilvl w:val="0"/>
          <w:numId w:val="0"/>
        </w:numPr>
        <w:spacing w:line="360" w:lineRule="auto"/>
        <w:ind w:leftChars="168"/>
        <w:jc w:val="center"/>
        <w:rPr>
          <w:rFonts w:hint="eastAsia" w:ascii="仿宋" w:hAnsi="仿宋" w:eastAsia="仿宋" w:cs="仿宋"/>
          <w:sz w:val="28"/>
          <w:szCs w:val="28"/>
          <w:lang w:val="en-US" w:eastAsia="zh-CN"/>
        </w:rPr>
      </w:pPr>
      <w:r>
        <w:rPr>
          <w:rFonts w:hint="eastAsia" w:ascii="仿宋" w:hAnsi="仿宋" w:eastAsia="仿宋" w:cs="仿宋"/>
          <w:color w:val="auto"/>
          <w:sz w:val="28"/>
          <w:szCs w:val="28"/>
          <w:lang w:val="en-US" w:eastAsia="zh-CN"/>
        </w:rPr>
        <w:t xml:space="preserve"> 二期滤池超越阀远程控制电缆走向图</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二期滤池超越阀按照图10所示敷设5条RVVP 2*1.5信号电缆沿电缆沟、不锈钢线槽到二期滤池低压电房PLC柜内，阀门采用开关信号控制；</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编写PLC程序针对二期滤池超越阀远程控制、开关到位、故障信号等，并在上位机开发对应界面；</w:t>
      </w:r>
    </w:p>
    <w:p>
      <w:pPr>
        <w:pStyle w:val="5"/>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238625" cy="2846070"/>
            <wp:effectExtent l="0" t="0" r="9525" b="11430"/>
            <wp:docPr id="28" name="图片 11" descr="盖板样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descr="盖板样式"/>
                    <pic:cNvPicPr>
                      <a:picLocks noChangeAspect="1"/>
                    </pic:cNvPicPr>
                  </pic:nvPicPr>
                  <pic:blipFill>
                    <a:blip r:embed="rId17"/>
                    <a:stretch>
                      <a:fillRect/>
                    </a:stretch>
                  </pic:blipFill>
                  <pic:spPr>
                    <a:xfrm>
                      <a:off x="0" y="0"/>
                      <a:ext cx="4238625" cy="2846070"/>
                    </a:xfrm>
                    <a:prstGeom prst="rect">
                      <a:avLst/>
                    </a:prstGeom>
                    <a:noFill/>
                    <a:ln>
                      <a:noFill/>
                    </a:ln>
                  </pic:spPr>
                </pic:pic>
              </a:graphicData>
            </a:graphic>
          </wp:inline>
        </w:drawing>
      </w:r>
    </w:p>
    <w:p>
      <w:pPr>
        <w:numPr>
          <w:ilvl w:val="0"/>
          <w:numId w:val="0"/>
        </w:numPr>
        <w:spacing w:line="360" w:lineRule="auto"/>
        <w:ind w:leftChars="168"/>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阀门井盖板尺寸及样式要求</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制作安装阀门井盖板，阀门井盖板样式见图11，阀门井尺寸：二期滤池总出水阀长0.76m*宽0.62m、三期滤池超越阀长1.62m*宽1.10m、三期滤池出水阀长1.6m*宽1.15m、三期滤池总超越阀长1.3m*0.92m；</w:t>
      </w:r>
    </w:p>
    <w:p>
      <w:pPr>
        <w:numPr>
          <w:ilvl w:val="0"/>
          <w:numId w:val="6"/>
        </w:numPr>
        <w:spacing w:line="360" w:lineRule="auto"/>
        <w:ind w:left="0" w:leftChars="0" w:firstLine="42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一二期10#鼓风机出风阀：</w:t>
      </w:r>
    </w:p>
    <w:p>
      <w:pPr>
        <w:numPr>
          <w:ilvl w:val="0"/>
          <w:numId w:val="8"/>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拆除原阀门电动执行器螺栓及接线端，使用1t电动葫芦吊起原执行器；</w:t>
      </w:r>
    </w:p>
    <w:p>
      <w:pPr>
        <w:pStyle w:val="5"/>
        <w:ind w:left="0" w:leftChars="0" w:firstLine="0" w:firstLineChars="0"/>
        <w:jc w:val="center"/>
        <w:rPr>
          <w:rFonts w:hint="eastAsia" w:ascii="仿宋" w:hAnsi="仿宋" w:eastAsia="仿宋" w:cs="仿宋"/>
          <w:sz w:val="28"/>
          <w:szCs w:val="28"/>
          <w:lang w:val="en-US" w:eastAsia="zh-CN"/>
        </w:rPr>
      </w:pPr>
      <w:r>
        <w:rPr>
          <w:rFonts w:hint="eastAsia" w:ascii="仿宋" w:hAnsi="仿宋" w:eastAsia="仿宋" w:cs="仿宋"/>
          <w:sz w:val="28"/>
          <w:szCs w:val="28"/>
        </w:rPr>
        <w:drawing>
          <wp:inline distT="0" distB="0" distL="114300" distR="114300">
            <wp:extent cx="5265420" cy="3641090"/>
            <wp:effectExtent l="0" t="0" r="11430" b="16510"/>
            <wp:docPr id="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pic:cNvPicPr>
                      <a:picLocks noChangeAspect="1"/>
                    </pic:cNvPicPr>
                  </pic:nvPicPr>
                  <pic:blipFill>
                    <a:blip r:embed="rId18"/>
                    <a:stretch>
                      <a:fillRect/>
                    </a:stretch>
                  </pic:blipFill>
                  <pic:spPr>
                    <a:xfrm>
                      <a:off x="0" y="0"/>
                      <a:ext cx="5265420" cy="3641090"/>
                    </a:xfrm>
                    <a:prstGeom prst="rect">
                      <a:avLst/>
                    </a:prstGeom>
                    <a:noFill/>
                    <a:ln>
                      <a:noFill/>
                    </a:ln>
                  </pic:spPr>
                </pic:pic>
              </a:graphicData>
            </a:graphic>
          </wp:inline>
        </w:drawing>
      </w:r>
    </w:p>
    <w:p>
      <w:pPr>
        <w:numPr>
          <w:ilvl w:val="0"/>
          <w:numId w:val="0"/>
        </w:numPr>
        <w:spacing w:line="360" w:lineRule="auto"/>
        <w:ind w:leftChars="168"/>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一二期10#鼓风机出风阀电动执行器</w:t>
      </w:r>
    </w:p>
    <w:p>
      <w:pPr>
        <w:numPr>
          <w:ilvl w:val="0"/>
          <w:numId w:val="8"/>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吊装更换新电动执行器：一二期10#鼓风机出风阀（DN800）电动执行器SM12/SC02-S(2:1)，电动执行器要求IP67防水等级、配加热功能、带2.5m延长杆;</w:t>
      </w:r>
    </w:p>
    <w:p>
      <w:pPr>
        <w:numPr>
          <w:ilvl w:val="0"/>
          <w:numId w:val="8"/>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电动执行器接线端子接入；</w:t>
      </w:r>
    </w:p>
    <w:p>
      <w:pPr>
        <w:pStyle w:val="5"/>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扩大阀门井口，原井口大小直径0.7m，扩大后井口大小1.2m*1.0m，阀门井口基础砌砖，制作安装阀门井盖板，阀门井盖板样式见图；</w:t>
      </w:r>
    </w:p>
    <w:p>
      <w:pPr>
        <w:pStyle w:val="5"/>
        <w:rPr>
          <w:rFonts w:hint="eastAsia" w:ascii="仿宋" w:hAnsi="仿宋" w:eastAsia="仿宋" w:cs="仿宋"/>
          <w:sz w:val="28"/>
          <w:szCs w:val="28"/>
          <w:lang w:val="en-US" w:eastAsia="zh-CN"/>
        </w:rPr>
      </w:pPr>
    </w:p>
    <w:p>
      <w:pPr>
        <w:pStyle w:val="5"/>
        <w:rPr>
          <w:rFonts w:hint="eastAsia" w:ascii="仿宋" w:hAnsi="仿宋" w:eastAsia="仿宋" w:cs="仿宋"/>
          <w:sz w:val="28"/>
          <w:szCs w:val="28"/>
          <w:lang w:val="en-US" w:eastAsia="zh-CN"/>
        </w:rPr>
      </w:pPr>
    </w:p>
    <w:p>
      <w:pPr>
        <w:pStyle w:val="5"/>
        <w:rPr>
          <w:rFonts w:hint="eastAsia" w:ascii="仿宋" w:hAnsi="仿宋" w:eastAsia="仿宋" w:cs="仿宋"/>
          <w:sz w:val="28"/>
          <w:szCs w:val="28"/>
          <w:lang w:val="en-US" w:eastAsia="zh-CN"/>
        </w:rPr>
      </w:pPr>
    </w:p>
    <w:p>
      <w:pPr>
        <w:pStyle w:val="5"/>
        <w:rPr>
          <w:rFonts w:hint="eastAsia" w:ascii="仿宋" w:hAnsi="仿宋" w:eastAsia="仿宋" w:cs="仿宋"/>
          <w:sz w:val="28"/>
          <w:szCs w:val="28"/>
          <w:lang w:val="en-US" w:eastAsia="zh-CN"/>
        </w:rPr>
      </w:pPr>
    </w:p>
    <w:p>
      <w:pPr>
        <w:pStyle w:val="5"/>
        <w:rPr>
          <w:rFonts w:hint="eastAsia" w:ascii="仿宋" w:hAnsi="仿宋" w:eastAsia="仿宋" w:cs="仿宋"/>
          <w:sz w:val="28"/>
          <w:szCs w:val="28"/>
          <w:lang w:val="en-US" w:eastAsia="zh-CN"/>
        </w:rPr>
      </w:pPr>
    </w:p>
    <w:p>
      <w:pPr>
        <w:adjustRightInd/>
        <w:snapToGrid/>
        <w:spacing w:line="240" w:lineRule="auto"/>
        <w:ind w:left="-210" w:leftChars="-100" w:firstLine="0" w:firstLineChars="0"/>
        <w:jc w:val="both"/>
        <w:rPr>
          <w:rFonts w:hint="eastAsia" w:ascii="仿宋" w:hAnsi="仿宋" w:eastAsia="仿宋" w:cs="仿宋"/>
          <w:b/>
          <w:bCs/>
          <w:color w:val="auto"/>
          <w:sz w:val="28"/>
          <w:szCs w:val="28"/>
          <w:highlight w:val="none"/>
          <w:u w:val="none"/>
          <w:lang w:val="en-US" w:eastAsia="zh-CN"/>
        </w:rPr>
      </w:pPr>
      <w:r>
        <w:rPr>
          <w:rFonts w:hint="eastAsia" w:ascii="仿宋" w:hAnsi="仿宋" w:eastAsia="仿宋" w:cs="仿宋"/>
          <w:b/>
          <w:bCs/>
          <w:color w:val="auto"/>
          <w:sz w:val="28"/>
          <w:szCs w:val="28"/>
          <w:highlight w:val="none"/>
          <w:u w:val="none"/>
          <w:lang w:val="en-US" w:eastAsia="zh-CN"/>
        </w:rPr>
        <w:t>项目二：</w:t>
      </w:r>
      <w:r>
        <w:rPr>
          <w:rFonts w:hint="eastAsia" w:ascii="仿宋" w:hAnsi="仿宋" w:eastAsia="仿宋" w:cs="仿宋"/>
          <w:b/>
          <w:bCs/>
          <w:color w:val="auto"/>
          <w:sz w:val="28"/>
          <w:szCs w:val="28"/>
          <w:highlight w:val="none"/>
          <w:u w:val="none"/>
        </w:rPr>
        <w:t>大坦沙分公司二期内回流泵远程控制优化项目</w:t>
      </w:r>
    </w:p>
    <w:p>
      <w:pPr>
        <w:pStyle w:val="13"/>
        <w:numPr>
          <w:ilvl w:val="0"/>
          <w:numId w:val="9"/>
        </w:numPr>
        <w:adjustRightInd w:val="0"/>
        <w:snapToGrid w:val="0"/>
        <w:spacing w:line="360" w:lineRule="auto"/>
        <w:ind w:left="420" w:leftChars="200" w:firstLine="0" w:firstLineChars="0"/>
        <w:rPr>
          <w:rFonts w:hint="eastAsia" w:ascii="仿宋" w:hAnsi="仿宋" w:eastAsia="仿宋" w:cs="仿宋"/>
          <w:b/>
          <w:color w:val="000000"/>
          <w:sz w:val="28"/>
          <w:szCs w:val="28"/>
          <w:lang w:val="zh-CN"/>
        </w:rPr>
      </w:pPr>
      <w:r>
        <w:rPr>
          <w:rFonts w:hint="eastAsia" w:ascii="仿宋" w:hAnsi="仿宋" w:eastAsia="仿宋" w:cs="仿宋"/>
          <w:b/>
          <w:color w:val="000000"/>
          <w:sz w:val="28"/>
          <w:szCs w:val="28"/>
          <w:lang w:val="zh-CN"/>
        </w:rPr>
        <w:t>项目情况介绍</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rightChars="0" w:firstLine="560" w:firstLineChars="200"/>
        <w:rPr>
          <w:rFonts w:hint="eastAsia" w:ascii="仿宋" w:hAnsi="仿宋" w:eastAsia="仿宋" w:cs="仿宋"/>
          <w:kern w:val="0"/>
          <w:sz w:val="28"/>
          <w:szCs w:val="28"/>
          <w:lang w:val="en-US" w:eastAsia="zh-CN"/>
        </w:rPr>
      </w:pPr>
      <w:r>
        <w:rPr>
          <w:rFonts w:hint="eastAsia" w:ascii="仿宋" w:hAnsi="仿宋" w:eastAsia="仿宋" w:cs="仿宋"/>
          <w:kern w:val="0"/>
          <w:sz w:val="28"/>
          <w:szCs w:val="28"/>
          <w:lang w:val="en-US" w:eastAsia="zh-CN"/>
        </w:rPr>
        <w:t>二期3号生产线共6台内回流泵，配有罗克韦尔POWERFLEX 400系列变频器，但PLC是通过软启对泵进行启停控制，且没配置远程控制逻辑。因此需立项对二期3号线反应池6台内回流泵控制方式进行改造。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ascii="仿宋" w:hAnsi="仿宋" w:eastAsia="仿宋" w:cs="仿宋"/>
          <w:b/>
          <w:color w:val="000000"/>
          <w:sz w:val="28"/>
          <w:szCs w:val="28"/>
          <w:highlight w:val="none"/>
          <w:lang w:val="zh-CN" w:eastAsia="zh-CN"/>
        </w:rPr>
      </w:pPr>
      <w:r>
        <w:rPr>
          <w:rFonts w:hint="eastAsia" w:ascii="仿宋" w:hAnsi="仿宋" w:eastAsia="仿宋" w:cs="仿宋"/>
          <w:b/>
          <w:color w:val="000000"/>
          <w:sz w:val="28"/>
          <w:szCs w:val="28"/>
          <w:lang w:val="zh-CN" w:eastAsia="zh-CN"/>
        </w:rPr>
        <w:t>二、实施内容</w:t>
      </w:r>
    </w:p>
    <w:p>
      <w:pPr>
        <w:numPr>
          <w:ilvl w:val="0"/>
          <w:numId w:val="0"/>
        </w:numPr>
        <w:ind w:left="0" w:leftChars="0" w:firstLine="638" w:firstLineChars="228"/>
        <w:rPr>
          <w:rFonts w:hint="eastAsia" w:ascii="仿宋" w:hAnsi="仿宋" w:eastAsia="仿宋" w:cs="仿宋"/>
          <w:sz w:val="28"/>
          <w:szCs w:val="36"/>
          <w:lang w:val="en-US" w:eastAsia="zh-CN"/>
        </w:rPr>
      </w:pPr>
      <w:r>
        <w:rPr>
          <w:rFonts w:hint="eastAsia" w:ascii="仿宋" w:hAnsi="仿宋" w:eastAsia="仿宋" w:cs="仿宋"/>
          <w:sz w:val="28"/>
          <w:szCs w:val="36"/>
          <w:lang w:val="en-US" w:eastAsia="zh-CN"/>
        </w:rPr>
        <w:t>二期3号反应池内回流泵保留现有罗克韦尔POWERFLEX 400系列变频器，断开原PLC的控制回路，增加一台罗克韦尔2080-LC50-24QBB的PLC及RS485通讯模块（设备甲供），从变频器20号485接口敷设控制线至PLC的485通讯模块处，PLC接入以太网，完成接线后可直接在上位机增加对应内回流泵远程控制画面。</w:t>
      </w:r>
    </w:p>
    <w:p>
      <w:pPr>
        <w:numPr>
          <w:ilvl w:val="0"/>
          <w:numId w:val="0"/>
        </w:numPr>
        <w:ind w:left="0" w:leftChars="0" w:firstLine="478" w:firstLineChars="228"/>
        <w:rPr>
          <w:rFonts w:hint="eastAsia" w:ascii="仿宋" w:hAnsi="仿宋" w:eastAsia="仿宋" w:cs="仿宋"/>
        </w:rPr>
      </w:pPr>
      <w:r>
        <w:rPr>
          <w:rFonts w:hint="eastAsia" w:ascii="仿宋" w:hAnsi="仿宋" w:eastAsia="仿宋" w:cs="仿宋"/>
        </w:rPr>
        <w:drawing>
          <wp:inline distT="0" distB="0" distL="114300" distR="114300">
            <wp:extent cx="5274310" cy="1582420"/>
            <wp:effectExtent l="0" t="0" r="2540" b="1778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9"/>
                    <a:stretch>
                      <a:fillRect/>
                    </a:stretch>
                  </pic:blipFill>
                  <pic:spPr>
                    <a:xfrm>
                      <a:off x="0" y="0"/>
                      <a:ext cx="5274310" cy="15824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rPr>
      </w:pPr>
      <w:r>
        <w:rPr>
          <w:rFonts w:hint="eastAsia" w:ascii="仿宋" w:hAnsi="仿宋" w:eastAsia="仿宋" w:cs="仿宋"/>
        </w:rPr>
        <w:drawing>
          <wp:inline distT="0" distB="0" distL="114300" distR="114300">
            <wp:extent cx="5271770" cy="5872480"/>
            <wp:effectExtent l="0" t="0" r="5080" b="13970"/>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20"/>
                    <a:stretch>
                      <a:fillRect/>
                    </a:stretch>
                  </pic:blipFill>
                  <pic:spPr>
                    <a:xfrm>
                      <a:off x="0" y="0"/>
                      <a:ext cx="5271770" cy="587248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ascii="仿宋" w:hAnsi="仿宋" w:eastAsia="仿宋" w:cs="仿宋"/>
          <w:b/>
          <w:color w:val="000000"/>
          <w:sz w:val="28"/>
          <w:szCs w:val="28"/>
          <w:highlight w:val="none"/>
          <w:lang w:val="zh-CN" w:eastAsia="zh-CN"/>
        </w:rPr>
      </w:pPr>
      <w:r>
        <w:rPr>
          <w:rFonts w:hint="eastAsia" w:ascii="仿宋" w:hAnsi="仿宋" w:eastAsia="仿宋" w:cs="仿宋"/>
          <w:b/>
          <w:color w:val="000000"/>
          <w:sz w:val="28"/>
          <w:szCs w:val="28"/>
          <w:lang w:val="en-US" w:eastAsia="zh-CN"/>
        </w:rPr>
        <w:t>三</w:t>
      </w:r>
      <w:r>
        <w:rPr>
          <w:rFonts w:hint="eastAsia" w:ascii="仿宋" w:hAnsi="仿宋" w:eastAsia="仿宋" w:cs="仿宋"/>
          <w:b/>
          <w:color w:val="000000"/>
          <w:sz w:val="28"/>
          <w:szCs w:val="28"/>
          <w:lang w:val="zh-CN" w:eastAsia="zh-CN"/>
        </w:rPr>
        <w:t>、实施</w:t>
      </w:r>
      <w:r>
        <w:rPr>
          <w:rFonts w:hint="eastAsia" w:ascii="仿宋" w:hAnsi="仿宋" w:eastAsia="仿宋" w:cs="仿宋"/>
          <w:b/>
          <w:color w:val="000000"/>
          <w:sz w:val="28"/>
          <w:szCs w:val="28"/>
          <w:lang w:val="en-US" w:eastAsia="zh-CN"/>
        </w:rPr>
        <w:t>方案</w:t>
      </w:r>
    </w:p>
    <w:p>
      <w:pPr>
        <w:numPr>
          <w:ilvl w:val="0"/>
          <w:numId w:val="10"/>
        </w:numPr>
        <w:ind w:left="0" w:leftChars="0" w:firstLine="638" w:firstLineChars="22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安装罗克韦尔2080-LC50-24QBB的PLC及RS485通讯模块（设备甲供）至PLC控制柜；</w:t>
      </w:r>
    </w:p>
    <w:p>
      <w:pPr>
        <w:numPr>
          <w:ilvl w:val="0"/>
          <w:numId w:val="10"/>
        </w:numPr>
        <w:ind w:left="0" w:leftChars="0" w:firstLine="638" w:firstLineChars="22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从PLC的485模块处敷设RVVP2*1.5控制电缆至变频器20号端子，控制电缆的屏蔽网接地，线缆长2.5m；</w:t>
      </w:r>
    </w:p>
    <w:p>
      <w:pPr>
        <w:numPr>
          <w:ilvl w:val="0"/>
          <w:numId w:val="10"/>
        </w:numPr>
        <w:ind w:left="0" w:leftChars="0" w:firstLine="638" w:firstLineChars="228"/>
        <w:rPr>
          <w:rFonts w:hint="eastAsia" w:ascii="仿宋" w:hAnsi="仿宋" w:eastAsia="仿宋" w:cs="仿宋"/>
          <w:sz w:val="28"/>
          <w:szCs w:val="28"/>
        </w:rPr>
      </w:pPr>
      <w:r>
        <w:rPr>
          <w:rFonts w:hint="eastAsia" w:ascii="仿宋" w:hAnsi="仿宋" w:eastAsia="仿宋" w:cs="仿宋"/>
          <w:sz w:val="28"/>
          <w:szCs w:val="28"/>
          <w:lang w:val="en-US" w:eastAsia="zh-CN"/>
        </w:rPr>
        <w:t>断开原PLC与回流泵的软启控制电缆；</w:t>
      </w:r>
    </w:p>
    <w:p>
      <w:pPr>
        <w:numPr>
          <w:ilvl w:val="0"/>
          <w:numId w:val="10"/>
        </w:numPr>
        <w:ind w:left="0" w:leftChars="0" w:firstLine="638" w:firstLineChars="228"/>
        <w:rPr>
          <w:rFonts w:hint="eastAsia" w:ascii="仿宋" w:hAnsi="仿宋" w:eastAsia="仿宋" w:cs="仿宋"/>
          <w:sz w:val="28"/>
          <w:szCs w:val="28"/>
        </w:rPr>
      </w:pPr>
      <w:r>
        <w:rPr>
          <w:rFonts w:hint="eastAsia" w:ascii="仿宋" w:hAnsi="仿宋" w:eastAsia="仿宋" w:cs="仿宋"/>
          <w:sz w:val="28"/>
          <w:szCs w:val="28"/>
          <w:lang w:val="en-US" w:eastAsia="zh-CN"/>
        </w:rPr>
        <w:t>编写PLC程序通过触摸屏经485控制变频器频率及读取变频器频率，同时开发触摸屏及上位机界面实现就地/远程控制切换、远程/就地调频控制、回流泵运行频率显示。</w:t>
      </w:r>
    </w:p>
    <w:p>
      <w:pPr>
        <w:numPr>
          <w:ilvl w:val="0"/>
          <w:numId w:val="0"/>
        </w:numPr>
        <w:rPr>
          <w:rFonts w:hint="eastAsia" w:ascii="仿宋" w:hAnsi="仿宋" w:eastAsia="仿宋" w:cs="仿宋"/>
          <w:sz w:val="28"/>
          <w:szCs w:val="28"/>
          <w:lang w:val="en-US" w:eastAsia="zh-CN"/>
        </w:rPr>
      </w:pPr>
    </w:p>
    <w:p>
      <w:pPr>
        <w:jc w:val="both"/>
        <w:rPr>
          <w:rFonts w:hint="eastAsia" w:ascii="仿宋" w:hAnsi="仿宋" w:eastAsia="仿宋" w:cs="仿宋"/>
          <w:b/>
          <w:bCs/>
          <w:color w:val="auto"/>
          <w:sz w:val="28"/>
          <w:szCs w:val="28"/>
          <w:highlight w:val="none"/>
          <w:u w:val="none"/>
          <w:lang w:val="en-US" w:eastAsia="zh-CN"/>
        </w:rPr>
      </w:pPr>
      <w:r>
        <w:rPr>
          <w:rFonts w:hint="eastAsia" w:ascii="仿宋" w:hAnsi="仿宋" w:eastAsia="仿宋" w:cs="仿宋"/>
          <w:b/>
          <w:bCs/>
          <w:color w:val="auto"/>
          <w:sz w:val="28"/>
          <w:szCs w:val="28"/>
          <w:highlight w:val="none"/>
          <w:u w:val="none"/>
          <w:lang w:val="en-US" w:eastAsia="zh-CN"/>
        </w:rPr>
        <w:t>项目三：大坦沙分公司二期生化池光伏照明系统等维修项目</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项目基本情况：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2024年净水公司深入贯彻新发展理念，坚持高质量发展主题，以“降本增效”为导向。使净水公司日常运行达到节能、高效、低碳、环保等目标。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一：此项目将使用太阳能和风能作为主要能源供应，利用太阳能光电板和风机将太阳能和风能转化为电能。风光互补型路灯将通过整合能源，有效提高太阳能和风能的利用效率，为厂区提供更加高效、节能的路灯照明系统，响应发展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二：二期生化池上的光伏板因老化问题，以及逆变器和蓄电池的损坏，导致二期生化池光伏系统无法正常运行。为确保整个光伏系统的可持续性和稳定性，拟计划对二期光伏系统进行全面修复和升级。确保系统恢复正常功能，并进一步提高整体运行效率。</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项目必要性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一：大坦沙分公司三期生产区域区域照明不足，可能导致巡查人员视线模糊、行动不便，影响巡查的全面性和高效性增加巡查人员以及区域内其他人员的安全风险。增加太阳能路灯能够提高生产区域区域的整体照明水平，减少潜在安全隐患。</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二：二期生化池光伏系统无法正常运行，导致能源浪费。通过修复和升级光伏系统，可以提升能源利用效率，减少能源浪费，降低能源成本。同时，恢复光伏系统可以解决老化和损坏问题，确保光伏系统正常运行，提高系统稳定性，降低故障率，保障生化池照明能源供应的连续性和稳定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三、项目实施内容：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拟计划在大坦沙分公司三期生产区域上建设三期生产区域照明。参照相关规范，结合厂区实际需求，具体实施内容为：</w:t>
      </w:r>
    </w:p>
    <w:p>
      <w:pPr>
        <w:widowControl/>
        <w:numPr>
          <w:ilvl w:val="0"/>
          <w:numId w:val="12"/>
        </w:numPr>
        <w:spacing w:line="360" w:lineRule="auto"/>
        <w:ind w:firstLine="640"/>
        <w:jc w:val="left"/>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本项目拟采用风光互补型路灯，结合了太阳能和风能两种可再生能源，能够根据自然资源的变化灵活地调节发电和供电模式。当太阳能不足时，通过风力发电来补充电能；反之亦然。因此，风光互补型路灯具有更高的稳定性和可靠性，能够在各种天气条件下提供持续稳定的照明。</w:t>
      </w:r>
    </w:p>
    <w:p>
      <w:pPr>
        <w:widowControl/>
        <w:numPr>
          <w:ilvl w:val="0"/>
          <w:numId w:val="0"/>
        </w:numPr>
        <w:spacing w:line="360" w:lineRule="auto"/>
        <w:jc w:val="center"/>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32"/>
          <w:szCs w:val="32"/>
          <w:u w:val="none"/>
          <w:lang w:val="en-US" w:eastAsia="zh-CN" w:bidi="ar-SA"/>
        </w:rPr>
        <w:drawing>
          <wp:inline distT="0" distB="0" distL="114300" distR="114300">
            <wp:extent cx="3275330" cy="3133090"/>
            <wp:effectExtent l="0" t="0" r="1270" b="10160"/>
            <wp:docPr id="17" name="图片 17" descr="9e99eab991ef838c7492b26c57a7a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9e99eab991ef838c7492b26c57a7a95"/>
                    <pic:cNvPicPr>
                      <a:picLocks noChangeAspect="1"/>
                    </pic:cNvPicPr>
                  </pic:nvPicPr>
                  <pic:blipFill>
                    <a:blip r:embed="rId21"/>
                    <a:stretch>
                      <a:fillRect/>
                    </a:stretch>
                  </pic:blipFill>
                  <pic:spPr>
                    <a:xfrm>
                      <a:off x="0" y="0"/>
                      <a:ext cx="3275330" cy="3133090"/>
                    </a:xfrm>
                    <a:prstGeom prst="rect">
                      <a:avLst/>
                    </a:prstGeom>
                  </pic:spPr>
                </pic:pic>
              </a:graphicData>
            </a:graphic>
          </wp:inline>
        </w:drawing>
      </w:r>
    </w:p>
    <w:p>
      <w:pPr>
        <w:widowControl/>
        <w:numPr>
          <w:ilvl w:val="0"/>
          <w:numId w:val="12"/>
        </w:numPr>
        <w:spacing w:line="360" w:lineRule="auto"/>
        <w:ind w:firstLine="640"/>
        <w:jc w:val="left"/>
        <w:rPr>
          <w:rFonts w:hint="eastAsia" w:ascii="仿宋" w:hAnsi="仿宋" w:eastAsia="仿宋" w:cs="仿宋"/>
          <w:color w:val="auto"/>
          <w:kern w:val="2"/>
          <w:sz w:val="32"/>
          <w:szCs w:val="32"/>
          <w:u w:val="none"/>
          <w:lang w:val="en-US" w:eastAsia="zh-CN" w:bidi="ar-SA"/>
        </w:rPr>
      </w:pPr>
      <w:r>
        <w:rPr>
          <w:rFonts w:hint="eastAsia" w:ascii="仿宋" w:hAnsi="仿宋" w:eastAsia="仿宋" w:cs="仿宋"/>
          <w:color w:val="auto"/>
          <w:kern w:val="2"/>
          <w:sz w:val="28"/>
          <w:szCs w:val="28"/>
          <w:u w:val="none"/>
          <w:lang w:val="en-US" w:eastAsia="zh-CN" w:bidi="ar-SA"/>
        </w:rPr>
        <w:t>参照相关规范要求，路灯使用单侧布置方式，灯杆高度不低于8米，路灯间距不大于24米。可以切换为“光源控制、时间控制、手动控制”三种状态。当切换到“光源控制”时，由感应光线装置自动感应户外的光线状况，根据户外的光线变化自动开停路灯；当切换到“时间控制”时，由预先设置的微时控装置进行开停控制，根据预设的时间进行路灯开停；当切换到手动控制时，可以受控控制路灯开停可以用于路灯维修时的电源切换。</w:t>
      </w:r>
    </w:p>
    <w:p>
      <w:pPr>
        <w:widowControl/>
        <w:numPr>
          <w:ilvl w:val="0"/>
          <w:numId w:val="12"/>
        </w:numPr>
        <w:spacing w:line="360" w:lineRule="auto"/>
        <w:ind w:firstLine="640"/>
        <w:jc w:val="left"/>
        <w:rPr>
          <w:rFonts w:hint="eastAsia" w:ascii="仿宋" w:hAnsi="仿宋" w:eastAsia="仿宋" w:cs="仿宋"/>
          <w:color w:val="auto"/>
          <w:kern w:val="2"/>
          <w:sz w:val="32"/>
          <w:szCs w:val="32"/>
          <w:u w:val="none"/>
          <w:lang w:val="en-US" w:eastAsia="zh-CN" w:bidi="ar-SA"/>
        </w:rPr>
      </w:pPr>
      <w:r>
        <w:rPr>
          <w:rFonts w:hint="eastAsia" w:ascii="仿宋" w:hAnsi="仿宋" w:eastAsia="仿宋" w:cs="仿宋"/>
          <w:color w:val="auto"/>
          <w:kern w:val="2"/>
          <w:sz w:val="28"/>
          <w:szCs w:val="28"/>
          <w:u w:val="none"/>
          <w:lang w:val="en-US" w:eastAsia="zh-CN" w:bidi="ar-SA"/>
        </w:rPr>
        <w:t>参照相关规范要求，选用截光型灯具布置，户外灯具防护等级大于等于IP65，光源需使用LED灯光源；</w:t>
      </w:r>
    </w:p>
    <w:p>
      <w:pPr>
        <w:widowControl/>
        <w:numPr>
          <w:ilvl w:val="0"/>
          <w:numId w:val="12"/>
        </w:numPr>
        <w:spacing w:line="360" w:lineRule="auto"/>
        <w:ind w:firstLine="640"/>
        <w:jc w:val="left"/>
        <w:rPr>
          <w:rFonts w:hint="eastAsia" w:ascii="仿宋" w:hAnsi="仿宋" w:eastAsia="仿宋" w:cs="仿宋"/>
          <w:color w:val="auto"/>
          <w:kern w:val="2"/>
          <w:sz w:val="32"/>
          <w:szCs w:val="32"/>
          <w:u w:val="none"/>
          <w:lang w:val="en-US" w:eastAsia="zh-CN" w:bidi="ar-SA"/>
        </w:rPr>
      </w:pPr>
      <w:r>
        <w:rPr>
          <w:rFonts w:hint="eastAsia" w:ascii="仿宋" w:hAnsi="仿宋" w:eastAsia="仿宋" w:cs="仿宋"/>
          <w:color w:val="auto"/>
          <w:kern w:val="2"/>
          <w:sz w:val="28"/>
          <w:szCs w:val="28"/>
          <w:u w:val="none"/>
          <w:lang w:val="en-US" w:eastAsia="zh-CN" w:bidi="ar-SA"/>
        </w:rPr>
        <w:t>安装位置如下图所示：</w:t>
      </w:r>
    </w:p>
    <w:p>
      <w:pPr>
        <w:widowControl/>
        <w:numPr>
          <w:ilvl w:val="0"/>
          <w:numId w:val="0"/>
        </w:numPr>
        <w:spacing w:line="360" w:lineRule="auto"/>
        <w:jc w:val="left"/>
        <w:rPr>
          <w:rFonts w:hint="eastAsia" w:ascii="仿宋" w:hAnsi="仿宋" w:eastAsia="仿宋" w:cs="仿宋"/>
        </w:rPr>
      </w:pPr>
    </w:p>
    <w:p>
      <w:pPr>
        <w:widowControl/>
        <w:numPr>
          <w:ilvl w:val="0"/>
          <w:numId w:val="0"/>
        </w:numPr>
        <w:spacing w:line="360" w:lineRule="auto"/>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775835" cy="2968625"/>
            <wp:effectExtent l="0" t="0" r="5715" b="31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2"/>
                    <a:stretch>
                      <a:fillRect/>
                    </a:stretch>
                  </pic:blipFill>
                  <pic:spPr>
                    <a:xfrm>
                      <a:off x="0" y="0"/>
                      <a:ext cx="4775835" cy="2968625"/>
                    </a:xfrm>
                    <a:prstGeom prst="rect">
                      <a:avLst/>
                    </a:prstGeom>
                    <a:noFill/>
                    <a:ln>
                      <a:noFill/>
                    </a:ln>
                  </pic:spPr>
                </pic:pic>
              </a:graphicData>
            </a:graphic>
          </wp:inline>
        </w:drawing>
      </w:r>
    </w:p>
    <w:p>
      <w:pPr>
        <w:widowControl/>
        <w:numPr>
          <w:ilvl w:val="0"/>
          <w:numId w:val="0"/>
        </w:numPr>
        <w:spacing w:line="360" w:lineRule="auto"/>
        <w:ind w:firstLine="560" w:firstLineChars="200"/>
        <w:jc w:val="left"/>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拟计划对二期光伏系统进行修复。二期反应池池面利用原有支架更换光伏板（共4块，每块550W），在二期反应池电房内放置逆变器一体机和蓄电池，该光伏系统将与市电供电的照明系统相配合。二期照明日常会使用光伏供电，当蓄电池电量降低至30%以下时，逆控一体机内的双电源转换开关会自动切换至市电供电。当蓄电池电量恢复至90%以上时，逆控一体机将重新转至光伏供电。为二期反应池照明系统提供双重保障，确保反应池照明系统的稳定性和可靠性，并进一步优化整体运行的效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四、实施方案：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    1、在路灯安装位置挖掘基础坑（长800*宽800*深1000mm）并周边复绿（共约10㎡），路灯基础为混凝土基础，确保基础坚固、垂直度和水平度。</w:t>
      </w:r>
    </w:p>
    <w:p>
      <w:pPr>
        <w:pStyle w:val="14"/>
        <w:ind w:firstLine="560" w:firstLineChars="200"/>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2、安装太阳能路灯灯具，和控制器，确保接线正确、固定牢靠。 </w:t>
      </w:r>
    </w:p>
    <w:p>
      <w:pPr>
        <w:pStyle w:val="14"/>
        <w:ind w:firstLine="560" w:firstLineChars="200"/>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3、安装完成后进行系统调试，确保太阳能路灯正常工作，同时进行验收，检查每盏太阳能路灯的安装质量和照明效果是否符合要求。</w:t>
      </w:r>
    </w:p>
    <w:p>
      <w:pPr>
        <w:pStyle w:val="14"/>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t>工程量清单：</w:t>
      </w:r>
    </w:p>
    <w:tbl>
      <w:tblPr>
        <w:tblStyle w:val="24"/>
        <w:tblW w:w="833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700"/>
        <w:gridCol w:w="1075"/>
        <w:gridCol w:w="5212"/>
        <w:gridCol w:w="674"/>
        <w:gridCol w:w="67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800" w:hRule="atLeast"/>
        </w:trPr>
        <w:tc>
          <w:tcPr>
            <w:tcW w:w="70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序号</w:t>
            </w:r>
          </w:p>
        </w:tc>
        <w:tc>
          <w:tcPr>
            <w:tcW w:w="1075" w:type="dxa"/>
            <w:tcBorders>
              <w:top w:val="single" w:color="000000" w:sz="8" w:space="0"/>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项目名称</w:t>
            </w:r>
          </w:p>
        </w:tc>
        <w:tc>
          <w:tcPr>
            <w:tcW w:w="5212" w:type="dxa"/>
            <w:tcBorders>
              <w:top w:val="single" w:color="000000" w:sz="8" w:space="0"/>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项目特征描述</w:t>
            </w:r>
          </w:p>
        </w:tc>
        <w:tc>
          <w:tcPr>
            <w:tcW w:w="674" w:type="dxa"/>
            <w:tcBorders>
              <w:top w:val="single" w:color="000000" w:sz="8" w:space="0"/>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计量单位</w:t>
            </w:r>
          </w:p>
        </w:tc>
        <w:tc>
          <w:tcPr>
            <w:tcW w:w="675" w:type="dxa"/>
            <w:tcBorders>
              <w:top w:val="single" w:color="000000" w:sz="8" w:space="0"/>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工程量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609" w:hRule="exact"/>
        </w:trPr>
        <w:tc>
          <w:tcPr>
            <w:tcW w:w="700" w:type="dxa"/>
            <w:tcBorders>
              <w:top w:val="nil"/>
              <w:left w:val="single" w:color="000000" w:sz="8" w:space="0"/>
              <w:bottom w:val="nil"/>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w:t>
            </w:r>
          </w:p>
        </w:tc>
        <w:tc>
          <w:tcPr>
            <w:tcW w:w="1075" w:type="dxa"/>
            <w:tcBorders>
              <w:top w:val="nil"/>
              <w:left w:val="nil"/>
              <w:bottom w:val="nil"/>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路灯制安</w:t>
            </w:r>
          </w:p>
        </w:tc>
        <w:tc>
          <w:tcPr>
            <w:tcW w:w="5212" w:type="dxa"/>
            <w:tcBorders>
              <w:top w:val="nil"/>
              <w:left w:val="nil"/>
              <w:bottom w:val="nil"/>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kern w:val="0"/>
                <w:sz w:val="22"/>
                <w:szCs w:val="22"/>
                <w:u w:val="none"/>
                <w:lang w:val="en-US" w:eastAsia="zh-CN" w:bidi="ar"/>
              </w:rPr>
              <w:t>名称：</w:t>
            </w:r>
            <w:r>
              <w:rPr>
                <w:rFonts w:hint="eastAsia" w:ascii="仿宋" w:hAnsi="仿宋" w:eastAsia="仿宋" w:cs="仿宋"/>
                <w:i w:val="0"/>
                <w:color w:val="000000"/>
                <w:sz w:val="22"/>
                <w:szCs w:val="22"/>
                <w:u w:val="none"/>
                <w:lang w:val="en-US" w:eastAsia="zh-CN"/>
              </w:rPr>
              <w:t>风光互补型路灯</w:t>
            </w:r>
          </w:p>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灯杆材质：Q235钢</w:t>
            </w:r>
          </w:p>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灯杆长度：8米</w:t>
            </w:r>
          </w:p>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电池规格：100AH</w:t>
            </w:r>
          </w:p>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光源规格：60W（LED）</w:t>
            </w:r>
          </w:p>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太阳能板规格：60W*2</w:t>
            </w:r>
          </w:p>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防护等级：IP65</w:t>
            </w:r>
          </w:p>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风机功率：300W</w:t>
            </w:r>
          </w:p>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p>
        </w:tc>
        <w:tc>
          <w:tcPr>
            <w:tcW w:w="674" w:type="dxa"/>
            <w:tcBorders>
              <w:top w:val="nil"/>
              <w:left w:val="nil"/>
              <w:bottom w:val="nil"/>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个</w:t>
            </w:r>
          </w:p>
        </w:tc>
        <w:tc>
          <w:tcPr>
            <w:tcW w:w="675" w:type="dxa"/>
            <w:tcBorders>
              <w:top w:val="nil"/>
              <w:left w:val="nil"/>
              <w:bottom w:val="nil"/>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rPr>
            </w:pPr>
            <w:r>
              <w:rPr>
                <w:rFonts w:hint="eastAsia" w:ascii="仿宋" w:hAnsi="仿宋" w:eastAsia="仿宋" w:cs="仿宋"/>
                <w:i w:val="0"/>
                <w:color w:val="000000"/>
                <w:kern w:val="0"/>
                <w:sz w:val="22"/>
                <w:szCs w:val="22"/>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2309" w:hRule="exact"/>
        </w:trPr>
        <w:tc>
          <w:tcPr>
            <w:tcW w:w="700" w:type="dxa"/>
            <w:tcBorders>
              <w:top w:val="nil"/>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2</w:t>
            </w:r>
          </w:p>
        </w:tc>
        <w:tc>
          <w:tcPr>
            <w:tcW w:w="1075" w:type="dxa"/>
            <w:tcBorders>
              <w:top w:val="nil"/>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color w:val="000000"/>
                <w:sz w:val="22"/>
                <w:szCs w:val="22"/>
                <w:u w:val="none"/>
                <w:lang w:val="en-US" w:eastAsia="zh-CN"/>
              </w:rPr>
              <w:t>路灯基础</w:t>
            </w:r>
          </w:p>
        </w:tc>
        <w:tc>
          <w:tcPr>
            <w:tcW w:w="5212" w:type="dxa"/>
            <w:tcBorders>
              <w:top w:val="nil"/>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基础尺寸：长800*宽800*深1000（含地笼）</w:t>
            </w:r>
          </w:p>
          <w:p>
            <w:pPr>
              <w:keepNext w:val="0"/>
              <w:keepLines w:val="0"/>
              <w:widowControl/>
              <w:suppressLineNumbers w:val="0"/>
              <w:jc w:val="both"/>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具体工作包括：</w:t>
            </w:r>
          </w:p>
          <w:p>
            <w:pPr>
              <w:keepNext w:val="0"/>
              <w:keepLines w:val="0"/>
              <w:widowControl/>
              <w:suppressLineNumbers w:val="0"/>
              <w:jc w:val="both"/>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1、挖掘基础坑</w:t>
            </w:r>
          </w:p>
          <w:p>
            <w:pPr>
              <w:keepNext w:val="0"/>
              <w:keepLines w:val="0"/>
              <w:widowControl/>
              <w:suppressLineNumbers w:val="0"/>
              <w:jc w:val="both"/>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2、放置模板</w:t>
            </w:r>
          </w:p>
          <w:p>
            <w:pPr>
              <w:keepNext w:val="0"/>
              <w:keepLines w:val="0"/>
              <w:widowControl/>
              <w:suppressLineNumbers w:val="0"/>
              <w:jc w:val="both"/>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3、地笼钢筋安装</w:t>
            </w:r>
          </w:p>
          <w:p>
            <w:pPr>
              <w:keepNext w:val="0"/>
              <w:keepLines w:val="0"/>
              <w:widowControl/>
              <w:suppressLineNumbers w:val="0"/>
              <w:jc w:val="both"/>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4、浇筑混凝土</w:t>
            </w:r>
          </w:p>
          <w:p>
            <w:pPr>
              <w:keepNext w:val="0"/>
              <w:keepLines w:val="0"/>
              <w:widowControl/>
              <w:suppressLineNumbers w:val="0"/>
              <w:jc w:val="both"/>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5、恢复绿化</w:t>
            </w:r>
          </w:p>
        </w:tc>
        <w:tc>
          <w:tcPr>
            <w:tcW w:w="674" w:type="dxa"/>
            <w:tcBorders>
              <w:top w:val="nil"/>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个</w:t>
            </w:r>
          </w:p>
        </w:tc>
        <w:tc>
          <w:tcPr>
            <w:tcW w:w="675" w:type="dxa"/>
            <w:tcBorders>
              <w:top w:val="nil"/>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2214" w:hRule="exact"/>
        </w:trPr>
        <w:tc>
          <w:tcPr>
            <w:tcW w:w="700" w:type="dxa"/>
            <w:tcBorders>
              <w:top w:val="nil"/>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3</w:t>
            </w:r>
          </w:p>
        </w:tc>
        <w:tc>
          <w:tcPr>
            <w:tcW w:w="1075" w:type="dxa"/>
            <w:tcBorders>
              <w:top w:val="nil"/>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1KV以下交流送配电装置系统调试</w:t>
            </w:r>
          </w:p>
        </w:tc>
        <w:tc>
          <w:tcPr>
            <w:tcW w:w="5212" w:type="dxa"/>
            <w:tcBorders>
              <w:top w:val="nil"/>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调试范围：本项目全部新装电气设备</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调试内容：</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（1）自动开关或断路器</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（2）隔离开关</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（3）常规保护装置</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（4）电力电缆</w:t>
            </w:r>
          </w:p>
          <w:p>
            <w:pPr>
              <w:keepNext w:val="0"/>
              <w:keepLines w:val="0"/>
              <w:widowControl/>
              <w:suppressLineNumbers w:val="0"/>
              <w:jc w:val="both"/>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（5）接地装置</w:t>
            </w:r>
          </w:p>
        </w:tc>
        <w:tc>
          <w:tcPr>
            <w:tcW w:w="674" w:type="dxa"/>
            <w:tcBorders>
              <w:top w:val="nil"/>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次</w:t>
            </w:r>
          </w:p>
        </w:tc>
        <w:tc>
          <w:tcPr>
            <w:tcW w:w="675" w:type="dxa"/>
            <w:tcBorders>
              <w:top w:val="nil"/>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分项二：</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光伏板更换：利用原有支架，固定在支架上，确保光伏板对准阳光最佳角度。按照说明安装光伏板之间的连接线，确保接头牢固。同时增加支架来承托新增光伏板突出部分。</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电气设备安装：将蓄电池和逆变器一体机放置于二期反应池电房内的预定位置，确保蓄电池连接线正确无误，接头牢固可靠。 </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lang w:val="en-US" w:eastAsia="zh-CN"/>
        </w:rPr>
      </w:pPr>
      <w:r>
        <w:rPr>
          <w:rFonts w:hint="eastAsia" w:ascii="仿宋" w:hAnsi="仿宋" w:eastAsia="仿宋" w:cs="仿宋"/>
          <w:color w:val="auto"/>
          <w:kern w:val="2"/>
          <w:sz w:val="28"/>
          <w:szCs w:val="28"/>
          <w:u w:val="none"/>
          <w:lang w:val="en-US" w:eastAsia="zh-CN" w:bidi="ar-SA"/>
        </w:rPr>
        <w:t>系统接线：将光伏板输出线连接至逆变器一体机的输入端，确保极性正确。连接逆变器一体机与蓄电池的输入输出线，确保蓄电池供电和充电线路正确。逆变器至照明系统的接线，将逆变器的输出端连接至二期反应池的照明系统配电箱。检查双电源转换开关的接入情况，确保市电和光伏电源切换正常。</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完成电缆敷设后，进行电缆测试和系统测试，确保电缆和系统的正常运行。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工程量清单：</w:t>
      </w:r>
    </w:p>
    <w:tbl>
      <w:tblPr>
        <w:tblStyle w:val="24"/>
        <w:tblW w:w="8477"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65"/>
        <w:gridCol w:w="2304"/>
        <w:gridCol w:w="3109"/>
        <w:gridCol w:w="1278"/>
        <w:gridCol w:w="102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2" w:hRule="atLeast"/>
        </w:trPr>
        <w:tc>
          <w:tcPr>
            <w:tcW w:w="0" w:type="auto"/>
            <w:tcBorders>
              <w:top w:val="nil"/>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color w:val="000000"/>
                <w:kern w:val="0"/>
                <w:sz w:val="22"/>
                <w:szCs w:val="22"/>
                <w:u w:val="none"/>
                <w:lang w:val="en-US" w:eastAsia="zh-CN" w:bidi="ar"/>
              </w:rPr>
              <w:t>序号</w:t>
            </w:r>
          </w:p>
        </w:tc>
        <w:tc>
          <w:tcPr>
            <w:tcW w:w="0" w:type="auto"/>
            <w:tcBorders>
              <w:top w:val="nil"/>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color w:val="000000"/>
                <w:kern w:val="0"/>
                <w:sz w:val="22"/>
                <w:szCs w:val="22"/>
                <w:u w:val="none"/>
                <w:lang w:val="en-US" w:eastAsia="zh-CN" w:bidi="ar"/>
              </w:rPr>
              <w:t>项目名称</w:t>
            </w:r>
          </w:p>
        </w:tc>
        <w:tc>
          <w:tcPr>
            <w:tcW w:w="0" w:type="auto"/>
            <w:tcBorders>
              <w:top w:val="nil"/>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color w:val="000000"/>
                <w:kern w:val="0"/>
                <w:sz w:val="22"/>
                <w:szCs w:val="22"/>
                <w:u w:val="none"/>
                <w:lang w:val="en-US" w:eastAsia="zh-CN" w:bidi="ar"/>
              </w:rPr>
              <w:t>项目特征描述</w:t>
            </w:r>
          </w:p>
        </w:tc>
        <w:tc>
          <w:tcPr>
            <w:tcW w:w="0" w:type="auto"/>
            <w:tcBorders>
              <w:top w:val="nil"/>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color w:val="000000"/>
                <w:kern w:val="0"/>
                <w:sz w:val="22"/>
                <w:szCs w:val="22"/>
                <w:u w:val="none"/>
                <w:lang w:val="en-US" w:eastAsia="zh-CN" w:bidi="ar"/>
              </w:rPr>
              <w:t>计量单位</w:t>
            </w:r>
          </w:p>
        </w:tc>
        <w:tc>
          <w:tcPr>
            <w:tcW w:w="0" w:type="auto"/>
            <w:tcBorders>
              <w:top w:val="nil"/>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color w:val="000000"/>
                <w:kern w:val="0"/>
                <w:sz w:val="22"/>
                <w:szCs w:val="22"/>
                <w:u w:val="none"/>
                <w:lang w:val="en-US" w:eastAsia="zh-CN" w:bidi="ar"/>
              </w:rPr>
              <w:t>工程量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光伏板制安</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0"/>
                <w:szCs w:val="20"/>
                <w:u w:val="none"/>
                <w:lang w:val="en-US" w:eastAsia="zh-CN" w:bidi="ar"/>
              </w:rPr>
            </w:pPr>
            <w:r>
              <w:rPr>
                <w:rFonts w:hint="eastAsia" w:ascii="仿宋" w:hAnsi="仿宋" w:eastAsia="仿宋" w:cs="仿宋"/>
                <w:i w:val="0"/>
                <w:iCs w:val="0"/>
                <w:color w:val="000000"/>
                <w:kern w:val="0"/>
                <w:sz w:val="20"/>
                <w:szCs w:val="20"/>
                <w:u w:val="none"/>
                <w:lang w:val="en-US" w:eastAsia="zh-CN" w:bidi="ar"/>
              </w:rPr>
              <w:t>功率：550W</w:t>
            </w:r>
          </w:p>
          <w:p>
            <w:pPr>
              <w:keepNext w:val="0"/>
              <w:keepLines w:val="0"/>
              <w:widowControl/>
              <w:suppressLineNumbers w:val="0"/>
              <w:jc w:val="center"/>
              <w:textAlignment w:val="center"/>
              <w:rPr>
                <w:rFonts w:hint="eastAsia" w:ascii="仿宋" w:hAnsi="仿宋" w:eastAsia="仿宋" w:cs="仿宋"/>
                <w:i w:val="0"/>
                <w:iCs w:val="0"/>
                <w:color w:val="000000"/>
                <w:sz w:val="20"/>
                <w:szCs w:val="20"/>
                <w:u w:val="none"/>
              </w:rPr>
            </w:pPr>
            <w:r>
              <w:rPr>
                <w:rFonts w:hint="eastAsia" w:ascii="仿宋" w:hAnsi="仿宋" w:eastAsia="仿宋" w:cs="仿宋"/>
                <w:i w:val="0"/>
                <w:iCs w:val="0"/>
                <w:color w:val="000000"/>
                <w:kern w:val="0"/>
                <w:sz w:val="20"/>
                <w:szCs w:val="20"/>
                <w:u w:val="none"/>
                <w:lang w:val="en-US" w:eastAsia="zh-CN" w:bidi="ar"/>
              </w:rPr>
              <w:t>尺寸：2279*1134*30mm</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块</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太阳能逆控一体机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电压：48V</w:t>
            </w:r>
          </w:p>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额定功率：2000W</w:t>
            </w:r>
          </w:p>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电流：60A</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胶体电池</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电压：12V（电池串联48V）</w:t>
            </w:r>
          </w:p>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电池容量：200AH</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线缆敷设</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规格：BVR单芯4平方</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旧光伏板拆除</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尺寸：135CM*125CM</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块</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2"/>
                <w:sz w:val="22"/>
                <w:szCs w:val="22"/>
                <w:u w:val="none"/>
                <w:lang w:val="en-US" w:eastAsia="zh-CN" w:bidi="ar-SA"/>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sz w:val="22"/>
                <w:szCs w:val="22"/>
                <w:u w:val="none"/>
                <w:lang w:val="en-US" w:eastAsia="zh-CN"/>
              </w:rPr>
              <w:t>线管敷设</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材质：PC线管</w:t>
            </w:r>
          </w:p>
          <w:p>
            <w:pPr>
              <w:keepNext w:val="0"/>
              <w:keepLines w:val="0"/>
              <w:widowControl/>
              <w:suppressLineNumbers w:val="0"/>
              <w:jc w:val="both"/>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sz w:val="22"/>
                <w:szCs w:val="22"/>
                <w:u w:val="none"/>
                <w:lang w:val="en-US" w:eastAsia="zh-CN"/>
              </w:rPr>
              <w:t>规格：DN30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sz w:val="22"/>
                <w:szCs w:val="22"/>
                <w:u w:val="none"/>
                <w:lang w:val="en-US" w:eastAsia="zh-CN"/>
              </w:rPr>
              <w:t>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sz w:val="22"/>
                <w:szCs w:val="22"/>
                <w:u w:val="none"/>
                <w:lang w:val="en-US" w:eastAsia="zh-CN"/>
              </w:rPr>
              <w:t>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20" w:hRule="atLeast"/>
        </w:trPr>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7</w:t>
            </w:r>
          </w:p>
        </w:tc>
        <w:tc>
          <w:tcPr>
            <w:tcW w:w="23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不锈钢支架制作与安装</w:t>
            </w:r>
          </w:p>
        </w:tc>
        <w:tc>
          <w:tcPr>
            <w:tcW w:w="310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材质：304不锈钢</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备注：用于承托新增光伏板突出部分</w:t>
            </w:r>
          </w:p>
        </w:tc>
        <w:tc>
          <w:tcPr>
            <w:tcW w:w="12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T</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8" w:hRule="atLeast"/>
        </w:trPr>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8</w:t>
            </w:r>
          </w:p>
        </w:tc>
        <w:tc>
          <w:tcPr>
            <w:tcW w:w="23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1KV以下交流送配电装置系统调试</w:t>
            </w:r>
          </w:p>
        </w:tc>
        <w:tc>
          <w:tcPr>
            <w:tcW w:w="310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调试范围：本项目全部新装电气设备</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调试内容：</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（1）自动开关或断路器</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（2）隔离开关</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（3）常规保护装置</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（4）电力电缆</w:t>
            </w:r>
          </w:p>
          <w:p>
            <w:pPr>
              <w:keepNext w:val="0"/>
              <w:keepLines w:val="0"/>
              <w:widowControl/>
              <w:suppressLineNumbers w:val="0"/>
              <w:jc w:val="both"/>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kern w:val="0"/>
                <w:sz w:val="22"/>
                <w:szCs w:val="22"/>
                <w:u w:val="none"/>
                <w:lang w:val="en-US" w:eastAsia="zh-CN" w:bidi="ar"/>
              </w:rPr>
              <w:t>（5）接地装置</w:t>
            </w:r>
          </w:p>
        </w:tc>
        <w:tc>
          <w:tcPr>
            <w:tcW w:w="12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kern w:val="0"/>
                <w:sz w:val="22"/>
                <w:szCs w:val="22"/>
                <w:u w:val="none"/>
                <w:lang w:val="en-US" w:eastAsia="zh-CN" w:bidi="ar"/>
              </w:rPr>
              <w:t>次</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w:t>
            </w:r>
          </w:p>
        </w:tc>
      </w:tr>
    </w:tbl>
    <w:p>
      <w:pPr>
        <w:ind w:firstLine="0" w:firstLineChars="0"/>
        <w:rPr>
          <w:rFonts w:hint="eastAsia" w:ascii="仿宋" w:hAnsi="仿宋" w:eastAsia="仿宋" w:cs="仿宋"/>
          <w:color w:val="auto"/>
          <w:sz w:val="32"/>
          <w:szCs w:val="32"/>
          <w:highlight w:val="none"/>
          <w:lang w:val="en-US" w:eastAsia="zh-CN"/>
        </w:rPr>
      </w:pPr>
    </w:p>
    <w:p>
      <w:pPr>
        <w:jc w:val="both"/>
        <w:rPr>
          <w:rFonts w:hint="eastAsia" w:ascii="仿宋" w:hAnsi="仿宋" w:eastAsia="仿宋" w:cs="仿宋"/>
          <w:b/>
          <w:bCs/>
          <w:color w:val="auto"/>
          <w:sz w:val="28"/>
          <w:szCs w:val="28"/>
          <w:highlight w:val="none"/>
          <w:u w:val="none"/>
          <w:lang w:val="en-US" w:eastAsia="zh-CN"/>
        </w:rPr>
      </w:pPr>
      <w:r>
        <w:rPr>
          <w:rFonts w:hint="eastAsia" w:ascii="仿宋" w:hAnsi="仿宋" w:eastAsia="仿宋" w:cs="仿宋"/>
          <w:b/>
          <w:bCs/>
          <w:color w:val="auto"/>
          <w:sz w:val="28"/>
          <w:szCs w:val="28"/>
          <w:highlight w:val="none"/>
          <w:u w:val="none"/>
          <w:lang w:val="en-US" w:eastAsia="zh-CN"/>
        </w:rPr>
        <w:t>项目四：大坦沙分公司厂区滤池等排风机维修项目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一、项目基本情况：</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大坦沙分公司的一期、二期和三期滤池出水廊道个别排气扇发生故障。这些排气扇的主要功能是排出出水滤池中的湿气和废气，保持内部环境的干燥和空气流通。然而，由于排气扇的故障，出水廊道出现了潮湿、闷热等不良情况。一二期鼓风机房、一二期低压电房、4号变压器电房，这些排气扇的主要功能是排出湿气和降低电房内温度，保持内部环境的干燥和空气流通。以上共有14台排风机电机损坏且外壳、风叶老旧严重。拟计划将以上损坏的排风扇全部维修更换。一二、三期滤池设备间共有15台排风机损坏，滤池设备间空阔，自然通风条件良好，目前通过自然通风完全能满足空气流通的需求。且排气扇安装高度太高，影响其正常清洁和维护。拟计划拆除排气扇，保留风帽和隔网，满足其自然通风需求。</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一期滤池因埋地暗敷线路多处断裂，导致顶层坐地式排风机和池顶路灯相线对地，拟计划重新敷设配电线。</w:t>
      </w: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drawing>
          <wp:inline distT="0" distB="0" distL="114300" distR="114300">
            <wp:extent cx="4314190" cy="1802765"/>
            <wp:effectExtent l="0" t="0" r="10160" b="6985"/>
            <wp:docPr id="66" name="图片 66" descr="f675eb166c375cfb63b535c7d1ef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f675eb166c375cfb63b535c7d1ef458"/>
                    <pic:cNvPicPr>
                      <a:picLocks noChangeAspect="1"/>
                    </pic:cNvPicPr>
                  </pic:nvPicPr>
                  <pic:blipFill>
                    <a:blip r:embed="rId23"/>
                    <a:stretch>
                      <a:fillRect/>
                    </a:stretch>
                  </pic:blipFill>
                  <pic:spPr>
                    <a:xfrm>
                      <a:off x="0" y="0"/>
                      <a:ext cx="4314190" cy="1802765"/>
                    </a:xfrm>
                    <a:prstGeom prst="rect">
                      <a:avLst/>
                    </a:prstGeom>
                  </pic:spPr>
                </pic:pic>
              </a:graphicData>
            </a:graphic>
          </wp:inline>
        </w:drawing>
      </w:r>
      <w:r>
        <w:rPr>
          <w:rFonts w:hint="eastAsia" w:ascii="仿宋" w:hAnsi="仿宋" w:eastAsia="仿宋" w:cs="仿宋"/>
          <w:color w:val="auto"/>
          <w:kern w:val="2"/>
          <w:sz w:val="28"/>
          <w:szCs w:val="28"/>
          <w:u w:val="none"/>
          <w:lang w:val="en-US" w:eastAsia="zh-CN" w:bidi="ar-SA"/>
        </w:rPr>
        <w:drawing>
          <wp:inline distT="0" distB="0" distL="114300" distR="114300">
            <wp:extent cx="4291330" cy="1917065"/>
            <wp:effectExtent l="0" t="0" r="13970" b="6985"/>
            <wp:docPr id="67" name="图片 67" descr="76ba53a16560543a3dbff0eee0f21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76ba53a16560543a3dbff0eee0f212d"/>
                    <pic:cNvPicPr>
                      <a:picLocks noChangeAspect="1"/>
                    </pic:cNvPicPr>
                  </pic:nvPicPr>
                  <pic:blipFill>
                    <a:blip r:embed="rId24"/>
                    <a:stretch>
                      <a:fillRect/>
                    </a:stretch>
                  </pic:blipFill>
                  <pic:spPr>
                    <a:xfrm>
                      <a:off x="0" y="0"/>
                      <a:ext cx="4291330" cy="191706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一期滤池线缆损坏图：</w:t>
      </w: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drawing>
          <wp:inline distT="0" distB="0" distL="114300" distR="114300">
            <wp:extent cx="2141220" cy="4053840"/>
            <wp:effectExtent l="0" t="0" r="3810" b="11430"/>
            <wp:docPr id="68" name="图片 68" descr="102b182bfa72d186fba6999623ae5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102b182bfa72d186fba6999623ae59b"/>
                    <pic:cNvPicPr>
                      <a:picLocks noChangeAspect="1"/>
                    </pic:cNvPicPr>
                  </pic:nvPicPr>
                  <pic:blipFill>
                    <a:blip r:embed="rId25"/>
                    <a:stretch>
                      <a:fillRect/>
                    </a:stretch>
                  </pic:blipFill>
                  <pic:spPr>
                    <a:xfrm rot="16200000" flipH="1">
                      <a:off x="0" y="0"/>
                      <a:ext cx="2141220" cy="4053840"/>
                    </a:xfrm>
                    <a:prstGeom prst="rect">
                      <a:avLst/>
                    </a:prstGeom>
                  </pic:spPr>
                </pic:pic>
              </a:graphicData>
            </a:graphic>
          </wp:inline>
        </w:drawing>
      </w:r>
      <w:r>
        <w:rPr>
          <w:rFonts w:hint="eastAsia" w:ascii="仿宋" w:hAnsi="仿宋" w:eastAsia="仿宋" w:cs="仿宋"/>
          <w:color w:val="auto"/>
          <w:kern w:val="2"/>
          <w:sz w:val="28"/>
          <w:szCs w:val="28"/>
          <w:u w:val="none"/>
          <w:lang w:val="en-US" w:eastAsia="zh-CN" w:bidi="ar-SA"/>
        </w:rPr>
        <w:drawing>
          <wp:inline distT="0" distB="0" distL="114300" distR="114300">
            <wp:extent cx="4051935" cy="1826895"/>
            <wp:effectExtent l="0" t="0" r="5715" b="1905"/>
            <wp:docPr id="69" name="图片 69" descr="c452633e03ce7e49430afac1b0645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452633e03ce7e49430afac1b06453f"/>
                    <pic:cNvPicPr>
                      <a:picLocks noChangeAspect="1"/>
                    </pic:cNvPicPr>
                  </pic:nvPicPr>
                  <pic:blipFill>
                    <a:blip r:embed="rId26"/>
                    <a:stretch>
                      <a:fillRect/>
                    </a:stretch>
                  </pic:blipFill>
                  <pic:spPr>
                    <a:xfrm>
                      <a:off x="0" y="0"/>
                      <a:ext cx="4051935" cy="1826895"/>
                    </a:xfrm>
                    <a:prstGeom prst="rect">
                      <a:avLst/>
                    </a:prstGeom>
                  </pic:spPr>
                </pic:pic>
              </a:graphicData>
            </a:graphic>
          </wp:inline>
        </w:drawing>
      </w:r>
    </w:p>
    <w:p>
      <w:pPr>
        <w:pStyle w:val="3"/>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kern w:val="2"/>
          <w:sz w:val="28"/>
          <w:szCs w:val="28"/>
          <w:highlight w:val="none"/>
          <w:lang w:val="en-US" w:eastAsia="zh-CN" w:bidi="ar-SA"/>
        </w:rPr>
      </w:pPr>
      <w:r>
        <w:rPr>
          <w:rFonts w:hint="eastAsia" w:ascii="仿宋" w:hAnsi="仿宋" w:eastAsia="仿宋" w:cs="仿宋"/>
          <w:b/>
          <w:bCs/>
          <w:kern w:val="2"/>
          <w:sz w:val="28"/>
          <w:szCs w:val="28"/>
          <w:highlight w:val="none"/>
          <w:lang w:val="en-US" w:eastAsia="zh-CN" w:bidi="ar-SA"/>
        </w:rPr>
        <w:t>二、项目必要性：</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1、参考国标GB 50019-2015《工业建筑供暖通风与空气调节设计规范》。滤池出水廊道中，由于长期水汽聚集和缺乏自然通风，环境的高湿度会导致金属设施和电子设备加速腐蚀。长期的潮湿环境会对滤池出水廊道及其相关设施，如：气动阀门、天车、电箱、仪表等造成腐蚀和损坏，缩短设备的使用寿命。不仅增加了设备的维修频率，还可能导致更换设备的高昂成本。及时修复排气扇，符合国标相关规定同时可以避免设施的进一步损坏，延长设备的使用寿命，减少不必要的维护和更换费用。</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2、参考国标GB50053-2013《</w:t>
      </w:r>
      <w:r>
        <w:rPr>
          <w:rFonts w:hint="eastAsia" w:ascii="仿宋" w:hAnsi="仿宋" w:eastAsia="仿宋" w:cs="仿宋"/>
          <w:color w:val="auto"/>
          <w:kern w:val="2"/>
          <w:sz w:val="28"/>
          <w:szCs w:val="28"/>
          <w:u w:val="none"/>
          <w:lang w:val="en-US" w:eastAsia="zh-CN" w:bidi="ar-SA"/>
        </w:rPr>
        <w:fldChar w:fldCharType="begin"/>
      </w:r>
      <w:r>
        <w:rPr>
          <w:rFonts w:hint="eastAsia" w:ascii="仿宋" w:hAnsi="仿宋" w:eastAsia="仿宋" w:cs="仿宋"/>
          <w:color w:val="auto"/>
          <w:kern w:val="2"/>
          <w:sz w:val="28"/>
          <w:szCs w:val="28"/>
          <w:u w:val="none"/>
          <w:lang w:val="en-US" w:eastAsia="zh-CN" w:bidi="ar-SA"/>
        </w:rPr>
        <w:instrText xml:space="preserve"> HYPERLINK "https://www.doc88.com/p-38173715226831.html" \o "20kV及以下变电所设计规范 GB50053-2013" \t "https://m.doc88.com/tag/_blank" </w:instrText>
      </w:r>
      <w:r>
        <w:rPr>
          <w:rFonts w:hint="eastAsia" w:ascii="仿宋" w:hAnsi="仿宋" w:eastAsia="仿宋" w:cs="仿宋"/>
          <w:color w:val="auto"/>
          <w:kern w:val="2"/>
          <w:sz w:val="28"/>
          <w:szCs w:val="28"/>
          <w:u w:val="none"/>
          <w:lang w:val="en-US" w:eastAsia="zh-CN" w:bidi="ar-SA"/>
        </w:rPr>
        <w:fldChar w:fldCharType="separate"/>
      </w:r>
      <w:r>
        <w:rPr>
          <w:rFonts w:hint="eastAsia" w:ascii="仿宋" w:hAnsi="仿宋" w:eastAsia="仿宋" w:cs="仿宋"/>
          <w:color w:val="auto"/>
          <w:kern w:val="2"/>
          <w:sz w:val="28"/>
          <w:szCs w:val="28"/>
          <w:u w:val="none"/>
          <w:lang w:val="en-US" w:eastAsia="zh-CN" w:bidi="ar-SA"/>
        </w:rPr>
        <w:t>20kV及以下变电所设计规范</w:t>
      </w:r>
      <w:r>
        <w:rPr>
          <w:rFonts w:hint="eastAsia" w:ascii="仿宋" w:hAnsi="仿宋" w:eastAsia="仿宋" w:cs="仿宋"/>
          <w:color w:val="auto"/>
          <w:kern w:val="2"/>
          <w:sz w:val="28"/>
          <w:szCs w:val="28"/>
          <w:u w:val="none"/>
          <w:lang w:val="en-US" w:eastAsia="zh-CN" w:bidi="ar-SA"/>
        </w:rPr>
        <w:fldChar w:fldCharType="end"/>
      </w:r>
      <w:r>
        <w:rPr>
          <w:rFonts w:hint="eastAsia" w:ascii="仿宋" w:hAnsi="仿宋" w:eastAsia="仿宋" w:cs="仿宋"/>
          <w:color w:val="auto"/>
          <w:kern w:val="2"/>
          <w:sz w:val="28"/>
          <w:szCs w:val="28"/>
          <w:u w:val="none"/>
          <w:lang w:val="en-US" w:eastAsia="zh-CN" w:bidi="ar-SA"/>
        </w:rPr>
        <w:t>》，当电房排风机失效，高温环境会影响变压器、低压配电柜、电缆及母排等设备的运行效率，增加故障率。及时修复排气扇，符合国标相关规定同时可以确保良好的通风条件，以保证设备在适宜的温度范围内运行。</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3、参考国标GB 50019-2015《工业建筑供暖通风与空气调节设计规范》6.2自然通风规定。目前，滤池设备间空阔，自然通风条件良好，既能满足空气流通的基本需求，又能减少能源消耗和运维成本。且排气扇的安装高度过高，这给正常的清洁和维护工作带来了不便，增加了工作的难度和安全风险。拆除它们可以减少维护的复杂性和潜在的安全问题。 </w:t>
      </w:r>
    </w:p>
    <w:p>
      <w:pPr>
        <w:pStyle w:val="3"/>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kern w:val="2"/>
          <w:sz w:val="28"/>
          <w:szCs w:val="28"/>
          <w:highlight w:val="none"/>
          <w:lang w:val="en-US" w:eastAsia="zh-CN" w:bidi="ar-SA"/>
        </w:rPr>
      </w:pPr>
      <w:r>
        <w:rPr>
          <w:rFonts w:hint="eastAsia" w:ascii="仿宋" w:hAnsi="仿宋" w:eastAsia="仿宋" w:cs="仿宋"/>
          <w:b/>
          <w:bCs/>
          <w:kern w:val="2"/>
          <w:sz w:val="28"/>
          <w:szCs w:val="28"/>
          <w:highlight w:val="none"/>
          <w:lang w:val="en-US" w:eastAsia="zh-CN" w:bidi="ar-SA"/>
        </w:rPr>
        <w:t>三、项目实施内容：</w:t>
      </w:r>
    </w:p>
    <w:p>
      <w:pPr>
        <w:pageBreakBefore w:val="0"/>
        <w:widowControl w:val="0"/>
        <w:numPr>
          <w:ilvl w:val="0"/>
          <w:numId w:val="14"/>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对14台已损坏的风机进行更换。</w:t>
      </w:r>
    </w:p>
    <w:p>
      <w:pPr>
        <w:pageBreakBefore w:val="0"/>
        <w:widowControl w:val="0"/>
        <w:numPr>
          <w:ilvl w:val="0"/>
          <w:numId w:val="14"/>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拆除一二期滤池中15台已损坏的风机。</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3、重新敷设一期滤池顶层排风机和池顶路灯埋地暗敷线。</w:t>
      </w:r>
    </w:p>
    <w:p>
      <w:pPr>
        <w:pStyle w:val="3"/>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kern w:val="2"/>
          <w:sz w:val="28"/>
          <w:szCs w:val="28"/>
          <w:highlight w:val="none"/>
          <w:lang w:val="en-US" w:eastAsia="zh-CN" w:bidi="ar-SA"/>
        </w:rPr>
      </w:pPr>
      <w:r>
        <w:rPr>
          <w:rFonts w:hint="eastAsia" w:ascii="仿宋" w:hAnsi="仿宋" w:eastAsia="仿宋" w:cs="仿宋"/>
          <w:b/>
          <w:bCs/>
          <w:kern w:val="2"/>
          <w:sz w:val="28"/>
          <w:szCs w:val="28"/>
          <w:highlight w:val="none"/>
          <w:lang w:val="en-US" w:eastAsia="zh-CN" w:bidi="ar-SA"/>
        </w:rPr>
        <w:t>四、实施方案：</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实施方案比选：</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0"/>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故障风机情况</w:t>
            </w:r>
          </w:p>
        </w:tc>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解决方案一</w:t>
            </w:r>
          </w:p>
        </w:tc>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解决方案二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电机烧坏无法启动</w:t>
            </w:r>
          </w:p>
        </w:tc>
        <w:tc>
          <w:tcPr>
            <w:tcW w:w="2840" w:type="dxa"/>
          </w:tcPr>
          <w:p>
            <w:pPr>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拆除排风机故障电机，重新更换电机</w:t>
            </w: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p>
        </w:tc>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按原有风机孔洞、风量、电机功率等重新更换排风机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风机叶片、外框老化</w:t>
            </w: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造成风机运行异响</w:t>
            </w:r>
          </w:p>
        </w:tc>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根据排气扇型号规格更换外框、更换叶片</w:t>
            </w:r>
          </w:p>
        </w:tc>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按原有风机孔洞、风量、电机功率等重新更换排风机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情况说明</w:t>
            </w:r>
          </w:p>
        </w:tc>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设备已运行多年，原有的电机配件、风叶和外框已经被淘汰，目前市场上难以找到合适的替代品进行更换。</w:t>
            </w:r>
          </w:p>
        </w:tc>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整机更换后，各个部件的工作协调性将大大提升，减少磨损和故障率，有效避免由于旧部件老化、磨损或兼容性问题导致的隐患，从而延长设备的使用寿命。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0" w:type="dxa"/>
            <w:gridSpan w:val="3"/>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b/>
                <w:bCs/>
                <w:vertAlign w:val="baseline"/>
                <w:lang w:val="en-US" w:eastAsia="zh-CN"/>
              </w:rPr>
              <w:t>结论：建议采用方案二</w:t>
            </w:r>
          </w:p>
        </w:tc>
      </w:tr>
    </w:tbl>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方案二更换排风机：</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1、拆除已损坏的排气扇；</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2、确定好安装位置，摆放好新排风机； </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3、连接好电源线路，确保电源正常； </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4、测试排风机是否正常运转，检查是否存在质量问题。 </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5、对已安装好的排风机进行测试运行，检查其正常工作。</w:t>
      </w:r>
    </w:p>
    <w:p>
      <w:pPr>
        <w:pStyle w:val="14"/>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备注：共有10台风机需要高处作业，高度8-10米。</w:t>
      </w:r>
    </w:p>
    <w:p>
      <w:pPr>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一期滤池线缆重新敷设：</w:t>
      </w:r>
    </w:p>
    <w:p>
      <w:pPr>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拆除路面，按照要求在敷设线路的路径上拆除路面，确保沟槽深度、宽度符合要求。 </w:t>
      </w:r>
    </w:p>
    <w:p>
      <w:pPr>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铺设电缆，将电缆放入挖好的沟槽中，根据规范要求进行捆扎、固定和保护。 </w:t>
      </w:r>
    </w:p>
    <w:p>
      <w:pPr>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完成电缆敷设后，进行电缆测试和系统测试，确保电缆和系统的正常运行。 </w:t>
      </w:r>
    </w:p>
    <w:p>
      <w:pPr>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路面修复和清理现场，重新浇筑混凝土填回沟槽，修复瓷砖。清理施工现场，保持施工区域的整洁。</w:t>
      </w:r>
    </w:p>
    <w:p>
      <w:pPr>
        <w:pStyle w:val="14"/>
        <w:rPr>
          <w:rFonts w:hint="eastAsia" w:ascii="仿宋" w:hAnsi="仿宋" w:eastAsia="仿宋" w:cs="仿宋"/>
          <w:color w:val="auto"/>
          <w:kern w:val="2"/>
          <w:sz w:val="28"/>
          <w:szCs w:val="24"/>
          <w:lang w:val="en-US" w:eastAsia="zh-CN" w:bidi="ar-SA"/>
        </w:rPr>
      </w:pPr>
      <w:r>
        <w:rPr>
          <w:rFonts w:hint="eastAsia" w:ascii="仿宋" w:hAnsi="仿宋" w:eastAsia="仿宋" w:cs="仿宋"/>
          <w:color w:val="auto"/>
          <w:kern w:val="2"/>
          <w:sz w:val="28"/>
          <w:szCs w:val="24"/>
          <w:lang w:val="en-US" w:eastAsia="zh-CN" w:bidi="ar-SA"/>
        </w:rPr>
        <w:t>工程量清单：</w:t>
      </w:r>
    </w:p>
    <w:tbl>
      <w:tblPr>
        <w:tblStyle w:val="24"/>
        <w:tblW w:w="827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06"/>
        <w:gridCol w:w="2163"/>
        <w:gridCol w:w="3870"/>
        <w:gridCol w:w="869"/>
        <w:gridCol w:w="7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3"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序号</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项目名称</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项目特征描述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计量单位</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工程量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0" w:type="auto"/>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40"/>
                <w:szCs w:val="40"/>
                <w:u w:val="none"/>
              </w:rPr>
            </w:pPr>
            <w:r>
              <w:rPr>
                <w:rFonts w:hint="eastAsia" w:ascii="仿宋" w:hAnsi="仿宋" w:eastAsia="仿宋" w:cs="仿宋"/>
                <w:i w:val="0"/>
                <w:iCs w:val="0"/>
                <w:color w:val="000000"/>
                <w:kern w:val="0"/>
                <w:sz w:val="40"/>
                <w:szCs w:val="40"/>
                <w:u w:val="none"/>
                <w:lang w:val="en-US" w:eastAsia="zh-CN" w:bidi="ar"/>
              </w:rPr>
              <w:t>一期滤池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29"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1</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排风机（坐地式）制安</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风量：7920立方米/小时</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全压：185PA</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功率：0.75KW</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电源：380V/50hz/3ph</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尺寸：500φ（基础底座长*宽*高：980*980*63）</w:t>
            </w:r>
          </w:p>
          <w:p>
            <w:pPr>
              <w:pStyle w:val="14"/>
              <w:rPr>
                <w:rFonts w:hint="eastAsia" w:ascii="仿宋" w:hAnsi="仿宋" w:eastAsia="仿宋" w:cs="仿宋"/>
              </w:rPr>
            </w:pPr>
            <w:r>
              <w:rPr>
                <w:rFonts w:hint="eastAsia" w:ascii="仿宋" w:hAnsi="仿宋" w:eastAsia="仿宋" w:cs="仿宋"/>
                <w:i w:val="0"/>
                <w:iCs w:val="0"/>
                <w:color w:val="000000"/>
                <w:kern w:val="0"/>
                <w:sz w:val="22"/>
                <w:szCs w:val="22"/>
                <w:u w:val="none"/>
                <w:lang w:val="en-US" w:eastAsia="zh-CN" w:bidi="ar"/>
              </w:rPr>
              <w:t>拆除原有损坏排风机，安装新排风机，接线并调试。</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2</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排风机（壁挂）拆除</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尺寸：500*500</w:t>
            </w:r>
          </w:p>
          <w:p>
            <w:pPr>
              <w:pStyle w:val="14"/>
              <w:rPr>
                <w:rFonts w:hint="eastAsia" w:ascii="仿宋" w:hAnsi="仿宋" w:eastAsia="仿宋" w:cs="仿宋"/>
              </w:rPr>
            </w:pPr>
            <w:r>
              <w:rPr>
                <w:rFonts w:hint="eastAsia" w:ascii="仿宋" w:hAnsi="仿宋" w:eastAsia="仿宋" w:cs="仿宋"/>
                <w:i w:val="0"/>
                <w:iCs w:val="0"/>
                <w:color w:val="000000"/>
                <w:kern w:val="0"/>
                <w:sz w:val="22"/>
                <w:szCs w:val="22"/>
                <w:u w:val="none"/>
                <w:lang w:val="en-US" w:eastAsia="zh-CN" w:bidi="ar"/>
              </w:rPr>
              <w:t>拆除原有损坏排风机。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8"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3</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拆除路面</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厚度：20cm</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材质：C30混凝土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平方米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1"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4</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路面修复</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厚度：20cm</w:t>
            </w:r>
          </w:p>
          <w:p>
            <w:pPr>
              <w:keepNext w:val="0"/>
              <w:keepLines w:val="0"/>
              <w:widowControl/>
              <w:suppressLineNumbers w:val="0"/>
              <w:jc w:val="both"/>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材质：C30混凝土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平方米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2"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5</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瓷砖敷设</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尺寸：30*30（cm）</w:t>
            </w:r>
          </w:p>
          <w:p>
            <w:pPr>
              <w:keepNext w:val="0"/>
              <w:keepLines w:val="0"/>
              <w:widowControl/>
              <w:suppressLineNumbers w:val="0"/>
              <w:jc w:val="both"/>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颜色款式根据现场确定</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平方米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90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1"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6</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线缆敷设</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线缆型号：ZR-BYJ-500V-4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1"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7</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线缆敷设</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线缆型号：ZR-BYJ-500V-2.5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1"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8</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线管敷设</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材质：PC线管</w:t>
            </w:r>
          </w:p>
          <w:p>
            <w:pPr>
              <w:keepNext w:val="0"/>
              <w:keepLines w:val="0"/>
              <w:widowControl/>
              <w:suppressLineNumbers w:val="0"/>
              <w:jc w:val="both"/>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规格：DN30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8"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9</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高空措施</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8-10米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6" w:hRule="atLeast"/>
          <w:jc w:val="center"/>
        </w:trPr>
        <w:tc>
          <w:tcPr>
            <w:tcW w:w="0" w:type="auto"/>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40"/>
                <w:szCs w:val="40"/>
                <w:u w:val="none"/>
              </w:rPr>
            </w:pPr>
            <w:r>
              <w:rPr>
                <w:rFonts w:hint="eastAsia" w:ascii="仿宋" w:hAnsi="仿宋" w:eastAsia="仿宋" w:cs="仿宋"/>
                <w:i w:val="0"/>
                <w:iCs w:val="0"/>
                <w:color w:val="000000"/>
                <w:kern w:val="0"/>
                <w:sz w:val="40"/>
                <w:szCs w:val="40"/>
                <w:u w:val="none"/>
                <w:lang w:val="en-US" w:eastAsia="zh-CN" w:bidi="ar"/>
              </w:rPr>
              <w:t>二期滤池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5"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9</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排风机（坐地式）制安</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风量：4740立方米/小时</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全压：165PA</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功率：0.55KW</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电源：380V/50hz/3ph</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尺寸：400φ（基础底座长*宽*高：880*880*63）</w:t>
            </w:r>
          </w:p>
          <w:p>
            <w:pPr>
              <w:pStyle w:val="14"/>
              <w:rPr>
                <w:rFonts w:hint="eastAsia" w:ascii="仿宋" w:hAnsi="仿宋" w:eastAsia="仿宋" w:cs="仿宋"/>
              </w:rPr>
            </w:pPr>
            <w:r>
              <w:rPr>
                <w:rFonts w:hint="eastAsia" w:ascii="仿宋" w:hAnsi="仿宋" w:eastAsia="仿宋" w:cs="仿宋"/>
                <w:i w:val="0"/>
                <w:iCs w:val="0"/>
                <w:color w:val="000000"/>
                <w:kern w:val="0"/>
                <w:sz w:val="22"/>
                <w:szCs w:val="22"/>
                <w:u w:val="none"/>
                <w:lang w:val="en-US" w:eastAsia="zh-CN" w:bidi="ar"/>
              </w:rPr>
              <w:t>拆除原有损坏排风机，安装新排风机，接线并调试。</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50"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10</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排风机（壁挂）拆除</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尺寸：600*600</w:t>
            </w:r>
          </w:p>
          <w:p>
            <w:pPr>
              <w:pStyle w:val="14"/>
              <w:rPr>
                <w:rFonts w:hint="eastAsia" w:ascii="仿宋" w:hAnsi="仿宋" w:eastAsia="仿宋" w:cs="仿宋"/>
              </w:rPr>
            </w:pPr>
            <w:r>
              <w:rPr>
                <w:rFonts w:hint="eastAsia" w:ascii="仿宋" w:hAnsi="仿宋" w:eastAsia="仿宋" w:cs="仿宋"/>
                <w:i w:val="0"/>
                <w:iCs w:val="0"/>
                <w:color w:val="000000"/>
                <w:kern w:val="0"/>
                <w:sz w:val="22"/>
                <w:szCs w:val="22"/>
                <w:u w:val="none"/>
                <w:lang w:val="en-US" w:eastAsia="zh-CN" w:bidi="ar"/>
              </w:rPr>
              <w:t>拆除原有损坏排风机。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3"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11</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高空措施</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6米以上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4" w:hRule="atLeast"/>
          <w:jc w:val="center"/>
        </w:trPr>
        <w:tc>
          <w:tcPr>
            <w:tcW w:w="0" w:type="auto"/>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40"/>
                <w:szCs w:val="40"/>
                <w:u w:val="none"/>
              </w:rPr>
            </w:pPr>
            <w:r>
              <w:rPr>
                <w:rFonts w:hint="eastAsia" w:ascii="仿宋" w:hAnsi="仿宋" w:eastAsia="仿宋" w:cs="仿宋"/>
                <w:i w:val="0"/>
                <w:iCs w:val="0"/>
                <w:color w:val="000000"/>
                <w:kern w:val="0"/>
                <w:sz w:val="40"/>
                <w:szCs w:val="40"/>
                <w:u w:val="none"/>
                <w:lang w:val="en-US" w:eastAsia="zh-CN" w:bidi="ar"/>
              </w:rPr>
              <w:t>三期滤池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33"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12</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排风机（坐地式）制安</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风量：9690立方米/小时</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全压：180PA</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功率：1.1KW</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电源：380V/50hz/3ph</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尺寸：600φ（基础底座长*宽*高：1080*1080*63）</w:t>
            </w:r>
          </w:p>
          <w:p>
            <w:pPr>
              <w:pStyle w:val="14"/>
              <w:rPr>
                <w:rFonts w:hint="eastAsia" w:ascii="仿宋" w:hAnsi="仿宋" w:eastAsia="仿宋" w:cs="仿宋"/>
              </w:rPr>
            </w:pPr>
            <w:r>
              <w:rPr>
                <w:rFonts w:hint="eastAsia" w:ascii="仿宋" w:hAnsi="仿宋" w:eastAsia="仿宋" w:cs="仿宋"/>
                <w:i w:val="0"/>
                <w:iCs w:val="0"/>
                <w:color w:val="000000"/>
                <w:kern w:val="0"/>
                <w:sz w:val="22"/>
                <w:szCs w:val="22"/>
                <w:u w:val="none"/>
                <w:lang w:val="en-US" w:eastAsia="zh-CN" w:bidi="ar"/>
              </w:rPr>
              <w:t>拆除原有损坏排风机，安装新排风机，接线并调试。</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75"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13</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排风机（壁挂）拆除</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尺寸：600*600</w:t>
            </w:r>
          </w:p>
          <w:p>
            <w:pPr>
              <w:pStyle w:val="14"/>
              <w:rPr>
                <w:rFonts w:hint="eastAsia" w:ascii="仿宋" w:hAnsi="仿宋" w:eastAsia="仿宋" w:cs="仿宋"/>
                <w:color w:val="000000"/>
                <w:sz w:val="24"/>
                <w:szCs w:val="24"/>
                <w:lang w:val="en-US" w:eastAsia="zh-CN" w:bidi="ar-SA"/>
              </w:rPr>
            </w:pPr>
            <w:r>
              <w:rPr>
                <w:rFonts w:hint="eastAsia" w:ascii="仿宋" w:hAnsi="仿宋" w:eastAsia="仿宋" w:cs="仿宋"/>
                <w:i w:val="0"/>
                <w:iCs w:val="0"/>
                <w:color w:val="000000"/>
                <w:kern w:val="0"/>
                <w:sz w:val="22"/>
                <w:szCs w:val="22"/>
                <w:u w:val="none"/>
                <w:lang w:val="en-US" w:eastAsia="zh-CN" w:bidi="ar"/>
              </w:rPr>
              <w:t>拆除原有损坏排风机。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87" w:hRule="atLeast"/>
          <w:jc w:val="center"/>
        </w:trPr>
        <w:tc>
          <w:tcPr>
            <w:tcW w:w="0" w:type="auto"/>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40"/>
                <w:szCs w:val="40"/>
                <w:u w:val="none"/>
              </w:rPr>
            </w:pPr>
            <w:r>
              <w:rPr>
                <w:rFonts w:hint="eastAsia" w:ascii="仿宋" w:hAnsi="仿宋" w:eastAsia="仿宋" w:cs="仿宋"/>
                <w:i w:val="0"/>
                <w:iCs w:val="0"/>
                <w:color w:val="000000"/>
                <w:kern w:val="0"/>
                <w:sz w:val="40"/>
                <w:szCs w:val="40"/>
                <w:u w:val="none"/>
                <w:lang w:val="en-US" w:eastAsia="zh-CN" w:bidi="ar"/>
              </w:rPr>
              <w:t>一二期新鼓风机房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42" w:hRule="exac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14</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排风机（壁挂）制安</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风量：7115立方米/小时</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全压：100PA</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功率：0.37KW</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电源：380V/50hz/3ph</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尺寸：600*600</w:t>
            </w:r>
          </w:p>
          <w:p>
            <w:pPr>
              <w:pStyle w:val="14"/>
              <w:rPr>
                <w:rFonts w:hint="eastAsia" w:ascii="仿宋" w:hAnsi="仿宋" w:eastAsia="仿宋" w:cs="仿宋"/>
              </w:rPr>
            </w:pPr>
            <w:r>
              <w:rPr>
                <w:rFonts w:hint="eastAsia" w:ascii="仿宋" w:hAnsi="仿宋" w:eastAsia="仿宋" w:cs="仿宋"/>
                <w:i w:val="0"/>
                <w:iCs w:val="0"/>
                <w:color w:val="000000"/>
                <w:kern w:val="0"/>
                <w:sz w:val="22"/>
                <w:szCs w:val="22"/>
                <w:u w:val="none"/>
                <w:lang w:val="en-US" w:eastAsia="zh-CN" w:bidi="ar"/>
              </w:rPr>
              <w:t>拆除原有损坏排风机，安装新排风机，接线并调试。</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exact"/>
          <w:jc w:val="center"/>
        </w:trPr>
        <w:tc>
          <w:tcPr>
            <w:tcW w:w="0" w:type="auto"/>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40"/>
                <w:szCs w:val="40"/>
                <w:u w:val="none"/>
              </w:rPr>
            </w:pPr>
            <w:r>
              <w:rPr>
                <w:rFonts w:hint="eastAsia" w:ascii="仿宋" w:hAnsi="仿宋" w:eastAsia="仿宋" w:cs="仿宋"/>
                <w:i w:val="0"/>
                <w:iCs w:val="0"/>
                <w:color w:val="000000"/>
                <w:kern w:val="0"/>
                <w:sz w:val="32"/>
                <w:szCs w:val="32"/>
                <w:u w:val="none"/>
                <w:lang w:val="en-US" w:eastAsia="zh-CN" w:bidi="ar"/>
              </w:rPr>
              <w:t>一二期4#变压器房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17" w:hRule="exac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15</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排风机（壁挂）制安</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风量：6790立方米/小时</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全压：100PA</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功率：0.18KW</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电源：380V/50hz/3ph</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尺寸：500*500</w:t>
            </w:r>
          </w:p>
          <w:p>
            <w:pPr>
              <w:keepNext w:val="0"/>
              <w:keepLines w:val="0"/>
              <w:widowControl/>
              <w:suppressLineNumbers w:val="0"/>
              <w:jc w:val="both"/>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拆除原有损坏排风机，安装新排风机，接线并调试。</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6" w:hRule="exact"/>
          <w:jc w:val="center"/>
        </w:trPr>
        <w:tc>
          <w:tcPr>
            <w:tcW w:w="0" w:type="auto"/>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000000"/>
                <w:sz w:val="40"/>
                <w:szCs w:val="40"/>
                <w:u w:val="none"/>
              </w:rPr>
            </w:pPr>
            <w:r>
              <w:rPr>
                <w:rFonts w:hint="eastAsia" w:ascii="仿宋" w:hAnsi="仿宋" w:eastAsia="仿宋" w:cs="仿宋"/>
                <w:i w:val="0"/>
                <w:iCs w:val="0"/>
                <w:color w:val="000000"/>
                <w:kern w:val="0"/>
                <w:sz w:val="28"/>
                <w:szCs w:val="28"/>
                <w:u w:val="none"/>
                <w:lang w:val="en-US" w:eastAsia="zh-CN" w:bidi="ar"/>
              </w:rPr>
              <w:t>一二期1号2号4号低压房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60"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16</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排风机（壁挂）制安</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风量：6790立方米/小时</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全压：100PA</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功率：0.18KW</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电源：380V/50hz/3ph</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尺寸：500*500</w:t>
            </w:r>
          </w:p>
          <w:p>
            <w:pPr>
              <w:keepNext w:val="0"/>
              <w:keepLines w:val="0"/>
              <w:widowControl/>
              <w:suppressLineNumbers w:val="0"/>
              <w:jc w:val="both"/>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拆除原有损坏排风机，安装新排风机，接线并调试。</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2" w:hRule="exac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17</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1KV以下交流送配电装置系统调试</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调试范围：本项目全部新装电气设备</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2.调试内容：</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（1）自动开关或断路器</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（2）隔离开关</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（3）常规保护装置</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（4）电力电缆</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（5）接地装置</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w:t>
            </w:r>
          </w:p>
        </w:tc>
      </w:tr>
    </w:tbl>
    <w:p>
      <w:pPr>
        <w:jc w:val="both"/>
        <w:rPr>
          <w:rFonts w:hint="eastAsia" w:ascii="仿宋" w:hAnsi="仿宋" w:eastAsia="仿宋" w:cs="仿宋"/>
          <w:b/>
          <w:bCs/>
          <w:color w:val="auto"/>
          <w:sz w:val="28"/>
          <w:szCs w:val="28"/>
          <w:highlight w:val="none"/>
          <w:u w:val="none"/>
          <w:lang w:val="en-US" w:eastAsia="zh-CN"/>
        </w:rPr>
      </w:pPr>
    </w:p>
    <w:p>
      <w:pPr>
        <w:ind w:firstLine="0" w:firstLineChars="0"/>
        <w:rPr>
          <w:rFonts w:hint="eastAsia" w:ascii="仿宋" w:hAnsi="仿宋" w:eastAsia="仿宋" w:cs="仿宋"/>
          <w:i w:val="0"/>
          <w:iCs w:val="0"/>
          <w:caps w:val="0"/>
          <w:color w:val="auto"/>
          <w:spacing w:val="0"/>
          <w:sz w:val="28"/>
          <w:szCs w:val="28"/>
          <w:highlight w:val="none"/>
          <w:u w:val="none"/>
          <w:shd w:val="clear" w:fill="auto"/>
          <w:lang w:bidi="ar"/>
        </w:rPr>
      </w:pPr>
      <w:r>
        <w:rPr>
          <w:rFonts w:hint="eastAsia" w:ascii="仿宋" w:hAnsi="仿宋" w:eastAsia="仿宋" w:cs="仿宋"/>
          <w:color w:val="auto"/>
          <w:sz w:val="32"/>
          <w:szCs w:val="32"/>
          <w:highlight w:val="none"/>
          <w:lang w:val="en-US" w:eastAsia="zh-CN"/>
        </w:rPr>
        <w:t>（二）总体效果及验收要求</w:t>
      </w:r>
      <w:r>
        <w:rPr>
          <w:rFonts w:hint="eastAsia" w:ascii="仿宋" w:hAnsi="仿宋" w:eastAsia="仿宋" w:cs="仿宋"/>
          <w:i w:val="0"/>
          <w:iCs w:val="0"/>
          <w:caps w:val="0"/>
          <w:color w:val="auto"/>
          <w:spacing w:val="0"/>
          <w:sz w:val="28"/>
          <w:szCs w:val="28"/>
          <w:highlight w:val="none"/>
          <w:u w:val="none"/>
          <w:shd w:val="clear" w:fill="auto"/>
          <w:lang w:bidi="ar"/>
        </w:rPr>
        <w:t xml:space="preserve"> </w:t>
      </w:r>
    </w:p>
    <w:p>
      <w:pPr>
        <w:ind w:firstLine="560" w:firstLineChars="200"/>
        <w:rPr>
          <w:rFonts w:hint="eastAsia" w:ascii="仿宋" w:hAnsi="仿宋" w:eastAsia="仿宋" w:cs="仿宋"/>
          <w:i w:val="0"/>
          <w:iCs w:val="0"/>
          <w:caps w:val="0"/>
          <w:color w:val="auto"/>
          <w:spacing w:val="0"/>
          <w:sz w:val="28"/>
          <w:szCs w:val="28"/>
          <w:highlight w:val="none"/>
          <w:u w:val="none"/>
          <w:shd w:val="clear"/>
          <w:lang w:eastAsia="zh-CN"/>
        </w:rPr>
      </w:pPr>
      <w:r>
        <w:rPr>
          <w:rFonts w:hint="eastAsia" w:ascii="仿宋" w:hAnsi="仿宋" w:eastAsia="仿宋" w:cs="仿宋"/>
          <w:color w:val="auto"/>
          <w:sz w:val="28"/>
          <w:szCs w:val="28"/>
          <w:highlight w:val="none"/>
          <w:u w:val="none"/>
          <w:lang w:val="en-US" w:eastAsia="zh-CN"/>
        </w:rPr>
        <w:t>项目完工后，电箱及</w:t>
      </w:r>
      <w:r>
        <w:rPr>
          <w:rFonts w:hint="eastAsia" w:ascii="仿宋" w:hAnsi="仿宋" w:eastAsia="仿宋" w:cs="仿宋"/>
          <w:i w:val="0"/>
          <w:iCs w:val="0"/>
          <w:caps w:val="0"/>
          <w:color w:val="auto"/>
          <w:spacing w:val="0"/>
          <w:sz w:val="28"/>
          <w:szCs w:val="28"/>
          <w:highlight w:val="none"/>
          <w:u w:val="none"/>
          <w:shd w:val="clear" w:fill="auto"/>
          <w:lang w:val="en-US" w:eastAsia="zh-CN"/>
        </w:rPr>
        <w:t>设备</w:t>
      </w:r>
      <w:r>
        <w:rPr>
          <w:rFonts w:hint="eastAsia" w:ascii="仿宋" w:hAnsi="仿宋" w:eastAsia="仿宋" w:cs="仿宋"/>
          <w:i w:val="0"/>
          <w:iCs w:val="0"/>
          <w:caps w:val="0"/>
          <w:color w:val="auto"/>
          <w:spacing w:val="0"/>
          <w:sz w:val="28"/>
          <w:szCs w:val="28"/>
          <w:highlight w:val="none"/>
          <w:u w:val="none"/>
          <w:shd w:val="clear" w:fill="auto"/>
        </w:rPr>
        <w:t>应安装牢固，位置合理，</w:t>
      </w:r>
      <w:r>
        <w:rPr>
          <w:rFonts w:hint="eastAsia" w:ascii="仿宋" w:hAnsi="仿宋" w:eastAsia="仿宋" w:cs="仿宋"/>
          <w:i w:val="0"/>
          <w:iCs w:val="0"/>
          <w:caps w:val="0"/>
          <w:color w:val="auto"/>
          <w:spacing w:val="0"/>
          <w:sz w:val="28"/>
          <w:szCs w:val="28"/>
          <w:highlight w:val="none"/>
          <w:u w:val="none"/>
          <w:shd w:val="clear" w:fill="auto"/>
          <w:lang w:val="en-US" w:eastAsia="zh-CN"/>
        </w:rPr>
        <w:t>数据读取正常</w:t>
      </w:r>
      <w:r>
        <w:rPr>
          <w:rFonts w:hint="eastAsia" w:ascii="仿宋" w:hAnsi="仿宋" w:eastAsia="仿宋" w:cs="仿宋"/>
          <w:i w:val="0"/>
          <w:iCs w:val="0"/>
          <w:caps w:val="0"/>
          <w:color w:val="auto"/>
          <w:spacing w:val="0"/>
          <w:sz w:val="28"/>
          <w:szCs w:val="28"/>
          <w:highlight w:val="none"/>
          <w:u w:val="none"/>
          <w:shd w:val="clear" w:fill="auto"/>
        </w:rPr>
        <w:t>，无外观损伤。</w:t>
      </w:r>
      <w:r>
        <w:rPr>
          <w:rFonts w:hint="eastAsia" w:ascii="仿宋" w:hAnsi="仿宋" w:eastAsia="仿宋" w:cs="仿宋"/>
          <w:i w:val="0"/>
          <w:iCs w:val="0"/>
          <w:caps w:val="0"/>
          <w:color w:val="auto"/>
          <w:spacing w:val="0"/>
          <w:sz w:val="28"/>
          <w:szCs w:val="28"/>
          <w:highlight w:val="none"/>
          <w:u w:val="none"/>
          <w:shd w:val="clear" w:fill="auto"/>
          <w:lang w:val="en-US" w:eastAsia="zh-CN"/>
        </w:rPr>
        <w:t>电缆、多功能仪表</w:t>
      </w:r>
      <w:r>
        <w:rPr>
          <w:rFonts w:hint="eastAsia" w:ascii="仿宋" w:hAnsi="仿宋" w:eastAsia="仿宋" w:cs="仿宋"/>
          <w:i w:val="0"/>
          <w:iCs w:val="0"/>
          <w:caps w:val="0"/>
          <w:color w:val="auto"/>
          <w:spacing w:val="0"/>
          <w:sz w:val="28"/>
          <w:szCs w:val="28"/>
          <w:highlight w:val="none"/>
          <w:u w:val="none"/>
          <w:shd w:val="clear" w:fill="auto"/>
        </w:rPr>
        <w:t>型号规格正确，安装牢固，接线正确，操作灵敏。插座型号规格正确，安装牢固，接线紧固，接触良好</w:t>
      </w:r>
      <w:r>
        <w:rPr>
          <w:rFonts w:hint="eastAsia" w:ascii="仿宋" w:hAnsi="仿宋" w:eastAsia="仿宋" w:cs="仿宋"/>
          <w:i w:val="0"/>
          <w:iCs w:val="0"/>
          <w:caps w:val="0"/>
          <w:color w:val="auto"/>
          <w:spacing w:val="0"/>
          <w:sz w:val="28"/>
          <w:szCs w:val="28"/>
          <w:highlight w:val="none"/>
          <w:u w:val="none"/>
          <w:shd w:val="clear"/>
          <w:lang w:eastAsia="zh-CN"/>
        </w:rPr>
        <w:t>。</w:t>
      </w:r>
    </w:p>
    <w:p>
      <w:pPr>
        <w:rPr>
          <w:rFonts w:hint="eastAsia" w:ascii="仿宋" w:hAnsi="仿宋" w:eastAsia="仿宋" w:cs="仿宋"/>
          <w:i w:val="0"/>
          <w:iCs w:val="0"/>
          <w:caps w:val="0"/>
          <w:color w:val="auto"/>
          <w:spacing w:val="0"/>
          <w:sz w:val="28"/>
          <w:szCs w:val="28"/>
          <w:highlight w:val="none"/>
          <w:u w:val="none"/>
          <w:shd w:val="clear" w:fill="auto"/>
          <w:lang w:eastAsia="zh-CN"/>
        </w:rPr>
      </w:pPr>
    </w:p>
    <w:p>
      <w:pPr>
        <w:ind w:firstLine="0" w:firstLineChars="0"/>
        <w:rPr>
          <w:rFonts w:hint="eastAsia" w:ascii="仿宋" w:hAnsi="仿宋" w:eastAsia="仿宋" w:cs="仿宋"/>
          <w:color w:val="auto"/>
          <w:sz w:val="32"/>
          <w:szCs w:val="32"/>
          <w:highlight w:val="none"/>
          <w:lang w:val="zh-CN" w:eastAsia="zh-CN"/>
        </w:rPr>
      </w:pPr>
      <w:r>
        <w:rPr>
          <w:rFonts w:hint="eastAsia" w:ascii="仿宋" w:hAnsi="仿宋" w:eastAsia="仿宋" w:cs="仿宋"/>
          <w:color w:val="auto"/>
          <w:sz w:val="32"/>
          <w:szCs w:val="32"/>
          <w:highlight w:val="none"/>
          <w:lang w:val="en-US" w:eastAsia="zh-CN"/>
        </w:rPr>
        <w:t>（三）</w:t>
      </w:r>
      <w:r>
        <w:rPr>
          <w:rFonts w:hint="eastAsia" w:ascii="仿宋" w:hAnsi="仿宋" w:eastAsia="仿宋" w:cs="仿宋"/>
          <w:color w:val="auto"/>
          <w:sz w:val="32"/>
          <w:szCs w:val="32"/>
          <w:highlight w:val="none"/>
          <w:lang w:val="zh-CN" w:eastAsia="zh-CN"/>
        </w:rPr>
        <w:t>项目商务要求</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1.工期：具体施工日期及工期调整根据实际计划时间而定。</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2.质量要求</w:t>
      </w:r>
    </w:p>
    <w:p>
      <w:pPr>
        <w:ind w:left="0" w:leftChars="0" w:firstLine="1058" w:firstLineChars="378"/>
        <w:rPr>
          <w:rFonts w:hint="eastAsia" w:ascii="仿宋" w:hAnsi="仿宋" w:eastAsia="仿宋" w:cs="仿宋"/>
          <w:i w:val="0"/>
          <w:iCs w:val="0"/>
          <w:caps w:val="0"/>
          <w:color w:val="auto"/>
          <w:spacing w:val="0"/>
          <w:sz w:val="28"/>
          <w:szCs w:val="28"/>
          <w:highlight w:val="none"/>
          <w:u w:val="none"/>
          <w:shd w:val="clear"/>
        </w:rPr>
      </w:pPr>
      <w:r>
        <w:rPr>
          <w:rFonts w:hint="eastAsia" w:ascii="仿宋" w:hAnsi="仿宋" w:eastAsia="仿宋" w:cs="仿宋"/>
          <w:i w:val="0"/>
          <w:iCs w:val="0"/>
          <w:caps w:val="0"/>
          <w:color w:val="auto"/>
          <w:spacing w:val="0"/>
          <w:sz w:val="28"/>
          <w:szCs w:val="28"/>
          <w:highlight w:val="none"/>
          <w:u w:val="none"/>
          <w:shd w:val="clear"/>
          <w:lang w:val="en-US" w:eastAsia="zh-CN"/>
        </w:rPr>
        <w:t>1、</w:t>
      </w:r>
      <w:r>
        <w:rPr>
          <w:rFonts w:hint="eastAsia" w:ascii="仿宋" w:hAnsi="仿宋" w:eastAsia="仿宋" w:cs="仿宋"/>
          <w:i w:val="0"/>
          <w:iCs w:val="0"/>
          <w:caps w:val="0"/>
          <w:color w:val="auto"/>
          <w:spacing w:val="0"/>
          <w:sz w:val="28"/>
          <w:szCs w:val="28"/>
          <w:highlight w:val="none"/>
          <w:u w:val="none"/>
          <w:shd w:val="clear"/>
        </w:rPr>
        <w:t>电箱应安装牢固，位置合理，水平垂直，无外观损伤。</w:t>
      </w:r>
    </w:p>
    <w:p>
      <w:pPr>
        <w:ind w:left="0" w:leftChars="0" w:firstLine="1058" w:firstLineChars="378"/>
        <w:rPr>
          <w:rFonts w:hint="eastAsia" w:ascii="仿宋" w:hAnsi="仿宋" w:eastAsia="仿宋" w:cs="仿宋"/>
          <w:i w:val="0"/>
          <w:iCs w:val="0"/>
          <w:caps w:val="0"/>
          <w:color w:val="auto"/>
          <w:spacing w:val="0"/>
          <w:sz w:val="28"/>
          <w:szCs w:val="28"/>
          <w:highlight w:val="none"/>
          <w:u w:val="none"/>
          <w:shd w:val="clear"/>
        </w:rPr>
      </w:pPr>
      <w:r>
        <w:rPr>
          <w:rFonts w:hint="eastAsia" w:ascii="仿宋" w:hAnsi="仿宋" w:eastAsia="仿宋" w:cs="仿宋"/>
          <w:i w:val="0"/>
          <w:iCs w:val="0"/>
          <w:caps w:val="0"/>
          <w:color w:val="auto"/>
          <w:spacing w:val="0"/>
          <w:sz w:val="28"/>
          <w:szCs w:val="28"/>
          <w:highlight w:val="none"/>
          <w:u w:val="none"/>
          <w:shd w:val="clear"/>
          <w:lang w:val="en-US" w:eastAsia="zh-CN"/>
        </w:rPr>
        <w:t>2、</w:t>
      </w:r>
      <w:r>
        <w:rPr>
          <w:rFonts w:hint="eastAsia" w:ascii="仿宋" w:hAnsi="仿宋" w:eastAsia="仿宋" w:cs="仿宋"/>
          <w:i w:val="0"/>
          <w:iCs w:val="0"/>
          <w:caps w:val="0"/>
          <w:color w:val="auto"/>
          <w:spacing w:val="0"/>
          <w:sz w:val="28"/>
          <w:szCs w:val="28"/>
          <w:highlight w:val="none"/>
          <w:u w:val="none"/>
          <w:shd w:val="clear"/>
        </w:rPr>
        <w:t>转换开关型号规格正确，安装牢固，接线正确，操作灵敏。</w:t>
      </w:r>
    </w:p>
    <w:p>
      <w:pPr>
        <w:ind w:left="0" w:leftChars="0" w:firstLine="1058" w:firstLineChars="378"/>
        <w:rPr>
          <w:rFonts w:hint="eastAsia" w:ascii="仿宋" w:hAnsi="仿宋" w:eastAsia="仿宋" w:cs="仿宋"/>
          <w:i w:val="0"/>
          <w:iCs w:val="0"/>
          <w:caps w:val="0"/>
          <w:color w:val="auto"/>
          <w:spacing w:val="0"/>
          <w:sz w:val="28"/>
          <w:szCs w:val="28"/>
          <w:highlight w:val="none"/>
          <w:u w:val="none"/>
          <w:shd w:val="clear"/>
          <w:lang w:eastAsia="zh-CN"/>
        </w:rPr>
      </w:pPr>
      <w:r>
        <w:rPr>
          <w:rFonts w:hint="eastAsia" w:ascii="仿宋" w:hAnsi="仿宋" w:eastAsia="仿宋" w:cs="仿宋"/>
          <w:i w:val="0"/>
          <w:iCs w:val="0"/>
          <w:caps w:val="0"/>
          <w:color w:val="auto"/>
          <w:spacing w:val="0"/>
          <w:sz w:val="28"/>
          <w:szCs w:val="28"/>
          <w:highlight w:val="none"/>
          <w:u w:val="none"/>
          <w:shd w:val="clear"/>
          <w:lang w:val="en-US" w:eastAsia="zh-CN"/>
        </w:rPr>
        <w:t>3、</w:t>
      </w:r>
      <w:r>
        <w:rPr>
          <w:rFonts w:hint="eastAsia" w:ascii="仿宋" w:hAnsi="仿宋" w:eastAsia="仿宋" w:cs="仿宋"/>
          <w:i w:val="0"/>
          <w:iCs w:val="0"/>
          <w:caps w:val="0"/>
          <w:color w:val="auto"/>
          <w:spacing w:val="0"/>
          <w:sz w:val="28"/>
          <w:szCs w:val="28"/>
          <w:highlight w:val="none"/>
          <w:u w:val="none"/>
          <w:shd w:val="clear"/>
        </w:rPr>
        <w:t>插座型号规格正确，安装牢固，接线紧固，接触良好</w:t>
      </w:r>
      <w:r>
        <w:rPr>
          <w:rFonts w:hint="eastAsia" w:ascii="仿宋" w:hAnsi="仿宋" w:eastAsia="仿宋" w:cs="仿宋"/>
          <w:i w:val="0"/>
          <w:iCs w:val="0"/>
          <w:caps w:val="0"/>
          <w:color w:val="auto"/>
          <w:spacing w:val="0"/>
          <w:sz w:val="28"/>
          <w:szCs w:val="28"/>
          <w:highlight w:val="none"/>
          <w:u w:val="none"/>
          <w:shd w:val="clear"/>
          <w:lang w:eastAsia="zh-CN"/>
        </w:rPr>
        <w:t>。</w:t>
      </w:r>
    </w:p>
    <w:p>
      <w:pPr>
        <w:pStyle w:val="29"/>
        <w:ind w:left="638" w:leftChars="304" w:firstLine="417" w:firstLineChars="149"/>
        <w:rPr>
          <w:rFonts w:hint="eastAsia" w:ascii="仿宋" w:hAnsi="仿宋" w:eastAsia="仿宋" w:cs="仿宋"/>
          <w:i w:val="0"/>
          <w:iCs w:val="0"/>
          <w:caps w:val="0"/>
          <w:color w:val="auto"/>
          <w:spacing w:val="0"/>
          <w:sz w:val="28"/>
          <w:szCs w:val="28"/>
          <w:highlight w:val="none"/>
          <w:u w:val="none"/>
          <w:shd w:val="clear"/>
          <w:lang w:val="en-US" w:eastAsia="zh-CN"/>
        </w:rPr>
      </w:pPr>
      <w:r>
        <w:rPr>
          <w:rFonts w:hint="eastAsia" w:ascii="仿宋" w:hAnsi="仿宋" w:eastAsia="仿宋" w:cs="仿宋"/>
          <w:i w:val="0"/>
          <w:iCs w:val="0"/>
          <w:caps w:val="0"/>
          <w:color w:val="auto"/>
          <w:spacing w:val="0"/>
          <w:sz w:val="28"/>
          <w:szCs w:val="28"/>
          <w:highlight w:val="none"/>
          <w:u w:val="none"/>
          <w:shd w:val="clear"/>
          <w:lang w:val="en-US" w:eastAsia="zh-CN"/>
        </w:rPr>
        <w:t>4、项目一中所用的电动执行器品牌须优于奥玛（auma）、施瓦茨（SCHWARZ）和天津百利二通，且必须为带远程和就地可选开度控制、模拟量开度反馈的智能型电动执行器；</w:t>
      </w:r>
    </w:p>
    <w:p>
      <w:pPr>
        <w:pStyle w:val="29"/>
        <w:ind w:left="638" w:leftChars="304" w:firstLine="417" w:firstLineChars="149"/>
        <w:rPr>
          <w:rFonts w:hint="eastAsia" w:ascii="仿宋" w:hAnsi="仿宋" w:eastAsia="仿宋" w:cs="仿宋"/>
          <w:i w:val="0"/>
          <w:iCs w:val="0"/>
          <w:caps w:val="0"/>
          <w:color w:val="auto"/>
          <w:spacing w:val="0"/>
          <w:sz w:val="28"/>
          <w:szCs w:val="28"/>
          <w:highlight w:val="none"/>
          <w:u w:val="none"/>
          <w:shd w:val="clear"/>
          <w:lang w:val="en-US" w:eastAsia="zh-CN"/>
        </w:rPr>
      </w:pPr>
      <w:r>
        <w:rPr>
          <w:rFonts w:hint="eastAsia" w:ascii="仿宋" w:hAnsi="仿宋" w:eastAsia="仿宋" w:cs="仿宋"/>
          <w:i w:val="0"/>
          <w:iCs w:val="0"/>
          <w:caps w:val="0"/>
          <w:color w:val="auto"/>
          <w:spacing w:val="0"/>
          <w:sz w:val="28"/>
          <w:szCs w:val="28"/>
          <w:highlight w:val="none"/>
          <w:u w:val="none"/>
          <w:shd w:val="clear"/>
          <w:lang w:val="en-US" w:eastAsia="zh-CN"/>
        </w:rPr>
        <w:t>5、所有项目中所用的电缆品牌须优于广州电缆厂、广日电气、白云电气。</w:t>
      </w:r>
    </w:p>
    <w:p>
      <w:pPr>
        <w:pStyle w:val="29"/>
        <w:ind w:left="638" w:leftChars="304" w:firstLine="417" w:firstLineChars="149"/>
        <w:rPr>
          <w:rFonts w:hint="eastAsia" w:ascii="仿宋" w:hAnsi="仿宋" w:eastAsia="仿宋" w:cs="仿宋"/>
          <w:i w:val="0"/>
          <w:iCs w:val="0"/>
          <w:caps w:val="0"/>
          <w:color w:val="auto"/>
          <w:spacing w:val="0"/>
          <w:sz w:val="28"/>
          <w:szCs w:val="28"/>
          <w:highlight w:val="none"/>
          <w:u w:val="none"/>
          <w:shd w:val="clear"/>
          <w:lang w:val="en-US" w:eastAsia="zh-CN"/>
        </w:rPr>
      </w:pPr>
      <w:r>
        <w:rPr>
          <w:rFonts w:hint="eastAsia" w:ascii="仿宋" w:hAnsi="仿宋" w:eastAsia="仿宋" w:cs="仿宋"/>
          <w:i w:val="0"/>
          <w:iCs w:val="0"/>
          <w:caps w:val="0"/>
          <w:color w:val="auto"/>
          <w:spacing w:val="0"/>
          <w:sz w:val="28"/>
          <w:szCs w:val="28"/>
          <w:highlight w:val="none"/>
          <w:u w:val="none"/>
          <w:shd w:val="clear"/>
          <w:lang w:val="en-US" w:eastAsia="zh-CN"/>
        </w:rPr>
        <w:t>6、项目使用的电气元件品牌须参照施耐德、ABB、西门子等一线品牌。</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3.安全文明施工要求：</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（1）在工程进行中，承包单位要注意保护场内的各种管线和设施。若有任何损坏，须立即通知有关部门和发包人，并由损坏单位承担损失和修复费用。</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发生重大伤亡及其他安全事故，承包单位应按有关规定立即上报有关部门并通知发包人，同时按政府有关部门要求处理，由事故责任方承担发生的费用。发包人、承包单位对事故责任有争议时，应按政府有关部门的认定处理。</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承包单位在施工期间应严格遵守《中华人民共和国安全生产法》（国家主席70号令）、《建设工程安全生产管理条例》（中华人民共和国国务院令第393号）以及文明施工、深夜施工、环卫和城管等规定，建立规章制度和防护措施。若违反以上规定，由此造成的经济和法律责任，均由承包单位负责。</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4.总包及分包规定：</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承包单位不许转包，不许擅自分包, 否则，发包人有权单方面终止合同，并令其立即退场，由此而造成的经济损失由承包单位负责赔偿。</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5.保修期：质保期为项目完成经验收合格之日起1年。</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6.询价人将自承包人履行完合同义务之日起15个工作日内组织验收，验收要求、验收标准及方法如下：</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（1）验收依据：询价文件、询价响应文件、厂家货物技术标准说明及国家有关的质量标准规定，均为验收依据。</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（2）承包单位根据要求进行设备的安装、调试、测试后，由发包人或政府相关部门进行使用性能方面的验收。</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（3）验收合格条件</w:t>
      </w:r>
    </w:p>
    <w:p>
      <w:pPr>
        <w:ind w:firstLine="560" w:firstLineChars="200"/>
        <w:rPr>
          <w:rFonts w:hint="eastAsia" w:ascii="仿宋" w:hAnsi="仿宋" w:eastAsia="仿宋" w:cs="仿宋"/>
          <w:color w:val="auto"/>
          <w:sz w:val="28"/>
          <w:szCs w:val="28"/>
          <w:highlight w:val="none"/>
          <w:u w:val="none"/>
          <w:lang w:val="en-US" w:eastAsia="zh-CN" w:bidi="ar"/>
        </w:rPr>
      </w:pPr>
      <w:r>
        <w:rPr>
          <w:rFonts w:hint="eastAsia" w:ascii="仿宋" w:hAnsi="仿宋" w:eastAsia="仿宋" w:cs="仿宋"/>
          <w:color w:val="auto"/>
          <w:sz w:val="28"/>
          <w:szCs w:val="28"/>
          <w:highlight w:val="none"/>
          <w:u w:val="none"/>
          <w:lang w:val="en-US" w:eastAsia="zh-CN"/>
        </w:rPr>
        <w:t>项目完工后，</w:t>
      </w:r>
      <w:r>
        <w:rPr>
          <w:rFonts w:hint="eastAsia" w:ascii="仿宋" w:hAnsi="仿宋" w:eastAsia="仿宋" w:cs="仿宋"/>
          <w:i w:val="0"/>
          <w:iCs w:val="0"/>
          <w:caps w:val="0"/>
          <w:color w:val="auto"/>
          <w:spacing w:val="0"/>
          <w:sz w:val="28"/>
          <w:szCs w:val="28"/>
          <w:highlight w:val="none"/>
          <w:u w:val="none"/>
          <w:shd w:val="clear"/>
        </w:rPr>
        <w:t>电箱应安装牢固，位置合理，水平垂直，无外观损伤。转换开关型号规格正确，安装牢固，接线正确，操作灵敏。插座型号规格正确，安装牢固，接线紧固，接触良好</w:t>
      </w:r>
      <w:r>
        <w:rPr>
          <w:rFonts w:hint="eastAsia" w:ascii="仿宋" w:hAnsi="仿宋" w:eastAsia="仿宋" w:cs="仿宋"/>
          <w:i w:val="0"/>
          <w:iCs w:val="0"/>
          <w:caps w:val="0"/>
          <w:color w:val="auto"/>
          <w:spacing w:val="0"/>
          <w:sz w:val="28"/>
          <w:szCs w:val="28"/>
          <w:highlight w:val="none"/>
          <w:u w:val="none"/>
          <w:shd w:val="clear"/>
          <w:lang w:eastAsia="zh-CN"/>
        </w:rPr>
        <w:t>。</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（4）发包人有权委托我国相关具有检验资质的部门、单位、机构针对维修后设备的精度、性能进行检验。其检验结果将作为验收标准的组成部分之一。</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（5）验收时承包单位必须派代表参加。</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（6）验收过程所发生的一切费用由承包单位承担。</w:t>
      </w:r>
    </w:p>
    <w:p>
      <w:pPr>
        <w:ind w:firstLine="560" w:firstLineChars="200"/>
        <w:rPr>
          <w:rFonts w:hint="eastAsia" w:ascii="仿宋" w:hAnsi="仿宋" w:eastAsia="仿宋" w:cs="仿宋"/>
          <w:i w:val="0"/>
          <w:iCs w:val="0"/>
          <w:caps w:val="0"/>
          <w:color w:val="auto"/>
          <w:spacing w:val="0"/>
          <w:sz w:val="28"/>
          <w:szCs w:val="28"/>
          <w:highlight w:val="none"/>
          <w:u w:val="none"/>
          <w:shd w:val="clear" w:fill="auto"/>
        </w:rPr>
      </w:pPr>
      <w:r>
        <w:rPr>
          <w:rFonts w:hint="eastAsia" w:ascii="仿宋" w:hAnsi="仿宋" w:eastAsia="仿宋" w:cs="仿宋"/>
          <w:color w:val="auto"/>
          <w:sz w:val="28"/>
          <w:szCs w:val="28"/>
          <w:highlight w:val="none"/>
          <w:lang w:val="en-US" w:eastAsia="zh-CN"/>
        </w:rPr>
        <w:t>（7）</w:t>
      </w:r>
      <w:r>
        <w:rPr>
          <w:rFonts w:hint="eastAsia" w:ascii="仿宋" w:hAnsi="仿宋" w:eastAsia="仿宋" w:cs="仿宋"/>
          <w:i w:val="0"/>
          <w:iCs w:val="0"/>
          <w:caps w:val="0"/>
          <w:color w:val="auto"/>
          <w:spacing w:val="0"/>
          <w:sz w:val="28"/>
          <w:szCs w:val="28"/>
          <w:highlight w:val="none"/>
          <w:u w:val="none"/>
          <w:shd w:val="clear" w:fill="auto"/>
          <w:lang w:val="en-US" w:eastAsia="zh-CN"/>
        </w:rPr>
        <w:t>投标人</w:t>
      </w:r>
      <w:r>
        <w:rPr>
          <w:rFonts w:hint="eastAsia" w:ascii="仿宋" w:hAnsi="仿宋" w:eastAsia="仿宋" w:cs="仿宋"/>
          <w:i w:val="0"/>
          <w:iCs w:val="0"/>
          <w:caps w:val="0"/>
          <w:color w:val="auto"/>
          <w:spacing w:val="0"/>
          <w:sz w:val="28"/>
          <w:szCs w:val="28"/>
          <w:highlight w:val="none"/>
          <w:u w:val="none"/>
          <w:shd w:val="clear" w:fill="auto"/>
        </w:rPr>
        <w:t>应向</w:t>
      </w:r>
      <w:r>
        <w:rPr>
          <w:rFonts w:hint="eastAsia" w:ascii="仿宋" w:hAnsi="仿宋" w:eastAsia="仿宋" w:cs="仿宋"/>
          <w:i w:val="0"/>
          <w:iCs w:val="0"/>
          <w:caps w:val="0"/>
          <w:color w:val="auto"/>
          <w:spacing w:val="0"/>
          <w:sz w:val="28"/>
          <w:szCs w:val="28"/>
          <w:highlight w:val="none"/>
          <w:u w:val="none"/>
          <w:shd w:val="clear" w:fill="auto"/>
          <w:lang w:val="en-US" w:eastAsia="zh-CN"/>
        </w:rPr>
        <w:t>发包人</w:t>
      </w:r>
      <w:r>
        <w:rPr>
          <w:rFonts w:hint="eastAsia" w:ascii="仿宋" w:hAnsi="仿宋" w:eastAsia="仿宋" w:cs="仿宋"/>
          <w:i w:val="0"/>
          <w:iCs w:val="0"/>
          <w:caps w:val="0"/>
          <w:color w:val="auto"/>
          <w:spacing w:val="0"/>
          <w:sz w:val="28"/>
          <w:szCs w:val="28"/>
          <w:highlight w:val="none"/>
          <w:u w:val="none"/>
          <w:shd w:val="clear" w:fill="auto"/>
        </w:rPr>
        <w:t>完整移交所有设备控制程序，包括但不限于PLC控制程序文件、触摸屏工程文件、上位机画面工程文件、编译文件、相关文档及已授权的程序读写编辑工具。</w:t>
      </w:r>
    </w:p>
    <w:p>
      <w:pPr>
        <w:ind w:firstLine="560" w:firstLineChars="200"/>
        <w:rPr>
          <w:rFonts w:hint="eastAsia" w:ascii="仿宋" w:hAnsi="仿宋" w:eastAsia="仿宋" w:cs="仿宋"/>
          <w:lang w:val="en-US" w:eastAsia="zh-CN"/>
        </w:rPr>
      </w:pPr>
      <w:r>
        <w:rPr>
          <w:rFonts w:hint="eastAsia" w:ascii="仿宋" w:hAnsi="仿宋" w:eastAsia="仿宋" w:cs="仿宋"/>
          <w:i w:val="0"/>
          <w:iCs w:val="0"/>
          <w:caps w:val="0"/>
          <w:color w:val="auto"/>
          <w:spacing w:val="0"/>
          <w:sz w:val="28"/>
          <w:szCs w:val="28"/>
          <w:highlight w:val="none"/>
          <w:u w:val="none"/>
          <w:shd w:val="clear" w:fill="auto"/>
          <w:lang w:eastAsia="zh-CN"/>
        </w:rPr>
        <w:t>（</w:t>
      </w:r>
      <w:r>
        <w:rPr>
          <w:rFonts w:hint="eastAsia" w:ascii="仿宋" w:hAnsi="仿宋" w:eastAsia="仿宋" w:cs="仿宋"/>
          <w:i w:val="0"/>
          <w:iCs w:val="0"/>
          <w:caps w:val="0"/>
          <w:color w:val="auto"/>
          <w:spacing w:val="0"/>
          <w:sz w:val="28"/>
          <w:szCs w:val="28"/>
          <w:highlight w:val="none"/>
          <w:u w:val="none"/>
          <w:shd w:val="clear" w:fill="auto"/>
          <w:lang w:val="en-US" w:eastAsia="zh-CN"/>
        </w:rPr>
        <w:t>8</w:t>
      </w:r>
      <w:r>
        <w:rPr>
          <w:rFonts w:hint="eastAsia" w:ascii="仿宋" w:hAnsi="仿宋" w:eastAsia="仿宋" w:cs="仿宋"/>
          <w:i w:val="0"/>
          <w:iCs w:val="0"/>
          <w:caps w:val="0"/>
          <w:color w:val="auto"/>
          <w:spacing w:val="0"/>
          <w:sz w:val="28"/>
          <w:szCs w:val="28"/>
          <w:highlight w:val="none"/>
          <w:u w:val="none"/>
          <w:shd w:val="clear" w:fill="auto"/>
          <w:lang w:eastAsia="zh-CN"/>
        </w:rPr>
        <w:t>）</w:t>
      </w:r>
      <w:r>
        <w:rPr>
          <w:rFonts w:hint="eastAsia" w:ascii="仿宋" w:hAnsi="仿宋" w:eastAsia="仿宋" w:cs="仿宋"/>
          <w:i w:val="0"/>
          <w:iCs w:val="0"/>
          <w:caps w:val="0"/>
          <w:color w:val="auto"/>
          <w:spacing w:val="0"/>
          <w:sz w:val="28"/>
          <w:szCs w:val="28"/>
          <w:highlight w:val="none"/>
          <w:u w:val="none"/>
          <w:shd w:val="clear" w:fill="auto"/>
        </w:rPr>
        <w:t>控制程序应确保功能完整、性能稳定，满足甲方对设备操作与控制的需求。</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7.付款方式：网银支付形式。</w:t>
      </w:r>
    </w:p>
    <w:p>
      <w:pPr>
        <w:ind w:firstLine="560" w:firstLineChars="200"/>
        <w:rPr>
          <w:rFonts w:hint="eastAsia" w:ascii="仿宋" w:hAnsi="仿宋" w:eastAsia="仿宋" w:cs="仿宋"/>
          <w:color w:val="auto"/>
          <w:sz w:val="28"/>
          <w:szCs w:val="28"/>
          <w:highlight w:val="none"/>
          <w:lang w:val="zh-CN" w:eastAsia="zh-CN"/>
        </w:rPr>
      </w:pPr>
      <w:r>
        <w:rPr>
          <w:rFonts w:hint="eastAsia" w:ascii="仿宋" w:hAnsi="仿宋" w:eastAsia="仿宋" w:cs="仿宋"/>
          <w:color w:val="auto"/>
          <w:sz w:val="28"/>
          <w:szCs w:val="28"/>
          <w:highlight w:val="none"/>
          <w:lang w:val="en-US" w:eastAsia="zh-CN"/>
        </w:rPr>
        <w:t>8.承包方式：</w:t>
      </w:r>
      <w:r>
        <w:rPr>
          <w:rFonts w:hint="eastAsia" w:ascii="仿宋" w:hAnsi="仿宋" w:eastAsia="仿宋" w:cs="仿宋"/>
          <w:color w:val="auto"/>
          <w:sz w:val="28"/>
          <w:szCs w:val="28"/>
          <w:highlight w:val="none"/>
          <w:lang w:val="zh-CN" w:eastAsia="zh-CN"/>
        </w:rPr>
        <w:t>单价包干。</w:t>
      </w:r>
    </w:p>
    <w:p>
      <w:pPr>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br w:type="page"/>
      </w:r>
    </w:p>
    <w:p>
      <w:pPr>
        <w:rPr>
          <w:rFonts w:hint="eastAsia" w:ascii="仿宋_GB2312" w:eastAsia="仿宋_GB2312"/>
          <w:color w:val="auto"/>
          <w:sz w:val="28"/>
          <w:szCs w:val="28"/>
          <w:highlight w:val="none"/>
          <w:lang w:val="en-US" w:eastAsia="zh-CN"/>
        </w:rPr>
      </w:pPr>
    </w:p>
    <w:p>
      <w:pPr>
        <w:rPr>
          <w:rFonts w:hint="eastAsia" w:ascii="仿宋_GB2312" w:eastAsia="仿宋_GB2312"/>
          <w:color w:val="auto"/>
          <w:sz w:val="28"/>
          <w:szCs w:val="28"/>
          <w:highlight w:val="none"/>
          <w:lang w:val="en-US" w:eastAsia="zh-CN"/>
        </w:rPr>
      </w:pPr>
    </w:p>
    <w:p>
      <w:pPr>
        <w:rPr>
          <w:rFonts w:hint="eastAsia" w:ascii="仿宋_GB2312" w:eastAsia="仿宋_GB2312"/>
          <w:color w:val="auto"/>
          <w:sz w:val="28"/>
          <w:szCs w:val="28"/>
          <w:highlight w:val="none"/>
          <w:lang w:val="en-US" w:eastAsia="zh-CN"/>
        </w:rPr>
      </w:pPr>
    </w:p>
    <w:p>
      <w:pPr>
        <w:rPr>
          <w:rFonts w:hint="eastAsia" w:ascii="仿宋_GB2312" w:eastAsia="仿宋_GB2312"/>
          <w:color w:val="auto"/>
          <w:sz w:val="28"/>
          <w:szCs w:val="28"/>
          <w:highlight w:val="none"/>
          <w:lang w:val="en-US" w:eastAsia="zh-CN"/>
        </w:rPr>
      </w:pPr>
    </w:p>
    <w:p>
      <w:pPr>
        <w:rPr>
          <w:rFonts w:hint="eastAsia" w:ascii="仿宋_GB2312" w:eastAsia="仿宋_GB2312"/>
          <w:color w:val="auto"/>
          <w:sz w:val="28"/>
          <w:szCs w:val="28"/>
          <w:highlight w:val="none"/>
          <w:lang w:val="en-US" w:eastAsia="zh-CN"/>
        </w:rPr>
      </w:pPr>
    </w:p>
    <w:p>
      <w:pPr>
        <w:pStyle w:val="5"/>
        <w:rPr>
          <w:rFonts w:hint="eastAsia"/>
        </w:rPr>
      </w:pPr>
    </w:p>
    <w:bookmarkEnd w:id="61"/>
    <w:bookmarkEnd w:id="62"/>
    <w:bookmarkEnd w:id="63"/>
    <w:bookmarkEnd w:id="64"/>
    <w:bookmarkEnd w:id="65"/>
    <w:bookmarkEnd w:id="66"/>
    <w:bookmarkEnd w:id="67"/>
    <w:bookmarkEnd w:id="68"/>
    <w:bookmarkEnd w:id="69"/>
    <w:bookmarkEnd w:id="70"/>
    <w:bookmarkEnd w:id="71"/>
    <w:p>
      <w:pPr>
        <w:pStyle w:val="2"/>
        <w:rPr>
          <w:color w:val="auto"/>
          <w:highlight w:val="none"/>
        </w:rPr>
      </w:pPr>
      <w:r>
        <w:rPr>
          <w:color w:val="auto"/>
          <w:highlight w:val="none"/>
        </w:rPr>
        <mc:AlternateContent>
          <mc:Choice Requires="wps">
            <w:drawing>
              <wp:anchor distT="0" distB="0" distL="114300" distR="114300" simplePos="0" relativeHeight="251673600" behindDoc="0" locked="0" layoutInCell="1" allowOverlap="1">
                <wp:simplePos x="0" y="0"/>
                <wp:positionH relativeFrom="column">
                  <wp:posOffset>2286000</wp:posOffset>
                </wp:positionH>
                <wp:positionV relativeFrom="paragraph">
                  <wp:posOffset>142875</wp:posOffset>
                </wp:positionV>
                <wp:extent cx="1009650" cy="0"/>
                <wp:effectExtent l="0" t="0" r="0" b="0"/>
                <wp:wrapNone/>
                <wp:docPr id="5" name="自选图形 8"/>
                <wp:cNvGraphicFramePr/>
                <a:graphic xmlns:a="http://schemas.openxmlformats.org/drawingml/2006/main">
                  <a:graphicData uri="http://schemas.microsoft.com/office/word/2010/wordprocessingShape">
                    <wps:wsp>
                      <wps:cNvCnPr/>
                      <wps:spPr>
                        <a:xfrm>
                          <a:off x="0" y="0"/>
                          <a:ext cx="10096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8" o:spid="_x0000_s1026" o:spt="32" type="#_x0000_t32" style="position:absolute;left:0pt;margin-left:180pt;margin-top:11.25pt;height:0pt;width:79.5pt;z-index:251673600;mso-width-relative:page;mso-height-relative:page;" filled="f" stroked="t" coordsize="21600,21600" o:gfxdata="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Kqy5E1wAAAAkBAAAPAAAAAAAAAAEAIAAAACIAAABkcnMvZG93bnJldi54bWxQSwEC&#10;FAAUAAAACACHTuJA/pBpavUBAADjAwAADgAAAAAAAAABACAAAAAmAQAAZHJzL2Uyb0RvYy54bWxQ&#10;SwUGAAAAAAYABgBZAQAAjQU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74624" behindDoc="0" locked="0" layoutInCell="1" allowOverlap="1">
                <wp:simplePos x="0" y="0"/>
                <wp:positionH relativeFrom="column">
                  <wp:posOffset>2315845</wp:posOffset>
                </wp:positionH>
                <wp:positionV relativeFrom="paragraph">
                  <wp:posOffset>596265</wp:posOffset>
                </wp:positionV>
                <wp:extent cx="958850" cy="0"/>
                <wp:effectExtent l="0" t="0" r="0" b="0"/>
                <wp:wrapNone/>
                <wp:docPr id="6" name="自选图形 9"/>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9" o:spid="_x0000_s1026" o:spt="32" type="#_x0000_t32" style="position:absolute;left:0pt;margin-left:182.35pt;margin-top:46.95pt;height:0pt;width:75.5pt;z-index:251674624;mso-width-relative:page;mso-height-relative:page;" filled="f" stroked="t" coordsize="21600,21600" o:gfxdata="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uV1tB1wAAAAkBAAAPAAAAAAAAAAEAIAAAACIAAABkcnMvZG93bnJldi54bWxQSwECFAAU&#10;AAAACACHTuJAJB2joPIBAADiAwAADgAAAAAAAAABACAAAAAmAQAAZHJzL2Uyb0RvYy54bWxQSwUG&#10;AAAAAAYABgBZAQAAigUAAAAA&#10;">
                <v:fill on="f" focussize="0,0"/>
                <v:stroke color="#000000" joinstyle="round"/>
                <v:imagedata o:title=""/>
                <o:lock v:ext="edit" aspectratio="f"/>
              </v:shape>
            </w:pict>
          </mc:Fallback>
        </mc:AlternateContent>
      </w:r>
      <w:r>
        <w:rPr>
          <w:rFonts w:hint="eastAsia"/>
          <w:color w:val="auto"/>
          <w:highlight w:val="none"/>
        </w:rPr>
        <w:t>第六章</w:t>
      </w:r>
    </w:p>
    <w:p>
      <w:pPr>
        <w:pStyle w:val="38"/>
        <w:rPr>
          <w:color w:val="auto"/>
          <w:highlight w:val="none"/>
        </w:rPr>
      </w:pPr>
    </w:p>
    <w:p>
      <w:pPr>
        <w:pStyle w:val="2"/>
        <w:rPr>
          <w:color w:val="auto"/>
          <w:highlight w:val="none"/>
        </w:rPr>
      </w:pPr>
      <w:bookmarkStart w:id="72" w:name="_Toc12980"/>
      <w:bookmarkStart w:id="73" w:name="_Toc19686"/>
      <w:bookmarkStart w:id="74" w:name="_Toc87616386"/>
      <w:bookmarkStart w:id="75" w:name="_Toc22501"/>
      <w:bookmarkStart w:id="76" w:name="_Toc8183"/>
      <w:bookmarkStart w:id="77" w:name="_Toc19088"/>
      <w:bookmarkStart w:id="78" w:name="_Toc1375"/>
      <w:bookmarkStart w:id="79" w:name="_Toc22797"/>
      <w:bookmarkStart w:id="80" w:name="_Toc323"/>
      <w:bookmarkStart w:id="81" w:name="_Toc13309"/>
      <w:bookmarkStart w:id="82" w:name="_Toc88209949"/>
      <w:bookmarkStart w:id="83" w:name="_Toc12721"/>
      <w:bookmarkStart w:id="84" w:name="_Toc12968"/>
      <w:r>
        <w:rPr>
          <w:rFonts w:hint="eastAsia"/>
          <w:color w:val="auto"/>
          <w:highlight w:val="none"/>
        </w:rPr>
        <w:t>合同</w:t>
      </w:r>
      <w:bookmarkEnd w:id="72"/>
      <w:bookmarkEnd w:id="73"/>
      <w:bookmarkEnd w:id="74"/>
      <w:bookmarkEnd w:id="75"/>
      <w:bookmarkEnd w:id="76"/>
      <w:bookmarkEnd w:id="77"/>
      <w:bookmarkEnd w:id="78"/>
      <w:bookmarkEnd w:id="79"/>
      <w:bookmarkEnd w:id="80"/>
      <w:bookmarkEnd w:id="81"/>
      <w:bookmarkEnd w:id="82"/>
      <w:bookmarkEnd w:id="83"/>
      <w:bookmarkEnd w:id="84"/>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14"/>
        <w:rPr>
          <w:rFonts w:ascii="方正小标宋简体" w:eastAsia="方正小标宋简体"/>
          <w:color w:val="auto"/>
          <w:sz w:val="44"/>
          <w:szCs w:val="44"/>
          <w:highlight w:val="none"/>
        </w:rPr>
      </w:pPr>
    </w:p>
    <w:p>
      <w:pPr>
        <w:pStyle w:val="15"/>
        <w:rPr>
          <w:rFonts w:ascii="方正小标宋简体" w:eastAsia="方正小标宋简体"/>
          <w:color w:val="auto"/>
          <w:sz w:val="44"/>
          <w:szCs w:val="44"/>
          <w:highlight w:val="none"/>
        </w:rPr>
      </w:pPr>
    </w:p>
    <w:p>
      <w:pPr>
        <w:rPr>
          <w:rFonts w:ascii="方正小标宋简体" w:eastAsia="方正小标宋简体"/>
          <w:color w:val="auto"/>
          <w:sz w:val="44"/>
          <w:szCs w:val="44"/>
          <w:highlight w:val="none"/>
        </w:rPr>
      </w:pPr>
    </w:p>
    <w:p>
      <w:pPr>
        <w:rPr>
          <w:rFonts w:ascii="方正小标宋简体" w:eastAsia="方正小标宋简体"/>
          <w:color w:val="auto"/>
          <w:sz w:val="44"/>
          <w:szCs w:val="44"/>
          <w:highlight w:val="none"/>
        </w:rPr>
      </w:pPr>
    </w:p>
    <w:p>
      <w:pPr>
        <w:rPr>
          <w:rFonts w:ascii="方正小标宋简体" w:eastAsia="方正小标宋简体"/>
          <w:color w:val="auto"/>
          <w:sz w:val="44"/>
          <w:szCs w:val="44"/>
          <w:highlight w:val="none"/>
        </w:rPr>
      </w:pPr>
    </w:p>
    <w:p>
      <w:pPr>
        <w:spacing w:line="400" w:lineRule="atLeast"/>
        <w:jc w:val="center"/>
        <w:rPr>
          <w:rFonts w:hint="eastAsia" w:ascii="仿宋" w:hAnsi="仿宋" w:eastAsia="仿宋" w:cs="仿宋"/>
          <w:b/>
          <w:bCs/>
          <w:color w:val="auto"/>
          <w:sz w:val="48"/>
          <w:szCs w:val="48"/>
          <w:highlight w:val="none"/>
        </w:rPr>
      </w:pPr>
    </w:p>
    <w:p>
      <w:pPr>
        <w:spacing w:line="400" w:lineRule="atLeast"/>
        <w:jc w:val="center"/>
        <w:rPr>
          <w:rFonts w:hint="eastAsia" w:ascii="仿宋" w:hAnsi="仿宋" w:eastAsia="仿宋" w:cs="仿宋"/>
          <w:b/>
          <w:bCs/>
          <w:color w:val="auto"/>
          <w:sz w:val="48"/>
          <w:szCs w:val="48"/>
          <w:highlight w:val="none"/>
        </w:rPr>
      </w:pPr>
    </w:p>
    <w:p>
      <w:pPr>
        <w:spacing w:line="400" w:lineRule="atLeast"/>
        <w:jc w:val="center"/>
        <w:rPr>
          <w:rFonts w:hint="eastAsia" w:ascii="仿宋" w:hAnsi="仿宋" w:eastAsia="仿宋" w:cs="仿宋"/>
          <w:b/>
          <w:bCs/>
          <w:color w:val="auto"/>
          <w:sz w:val="48"/>
          <w:szCs w:val="48"/>
          <w:highlight w:val="none"/>
        </w:rPr>
      </w:pPr>
    </w:p>
    <w:p>
      <w:pPr>
        <w:spacing w:line="400" w:lineRule="atLeast"/>
        <w:jc w:val="center"/>
        <w:rPr>
          <w:rFonts w:hint="eastAsia" w:ascii="仿宋" w:hAnsi="仿宋" w:eastAsia="仿宋" w:cs="仿宋"/>
          <w:b/>
          <w:bCs/>
          <w:color w:val="auto"/>
          <w:sz w:val="48"/>
          <w:szCs w:val="48"/>
          <w:highlight w:val="none"/>
        </w:rPr>
      </w:pPr>
    </w:p>
    <w:p>
      <w:pPr>
        <w:spacing w:line="400" w:lineRule="atLeast"/>
        <w:jc w:val="center"/>
        <w:rPr>
          <w:rFonts w:hint="eastAsia" w:ascii="仿宋" w:hAnsi="仿宋" w:eastAsia="仿宋" w:cs="仿宋"/>
          <w:b/>
          <w:bCs/>
          <w:color w:val="auto"/>
          <w:sz w:val="48"/>
          <w:szCs w:val="48"/>
          <w:highlight w:val="none"/>
        </w:rPr>
      </w:pPr>
      <w:r>
        <w:rPr>
          <w:rFonts w:hint="eastAsia" w:ascii="仿宋" w:hAnsi="仿宋" w:eastAsia="仿宋" w:cs="仿宋"/>
          <w:b/>
          <w:bCs/>
          <w:color w:val="auto"/>
          <w:sz w:val="48"/>
          <w:szCs w:val="48"/>
          <w:highlight w:val="none"/>
        </w:rPr>
        <w:t>广州市净水有限公司</w:t>
      </w:r>
    </w:p>
    <w:p>
      <w:pPr>
        <w:spacing w:line="400" w:lineRule="atLeast"/>
        <w:jc w:val="center"/>
        <w:rPr>
          <w:rFonts w:hint="eastAsia" w:ascii="仿宋" w:hAnsi="仿宋" w:eastAsia="仿宋" w:cs="仿宋"/>
          <w:b/>
          <w:bCs/>
          <w:color w:val="auto"/>
          <w:sz w:val="52"/>
          <w:szCs w:val="52"/>
          <w:highlight w:val="none"/>
        </w:rPr>
      </w:pPr>
      <w:r>
        <w:rPr>
          <w:rFonts w:hint="eastAsia" w:ascii="仿宋" w:hAnsi="仿宋" w:eastAsia="仿宋" w:cs="仿宋"/>
          <w:b/>
          <w:bCs/>
          <w:color w:val="auto"/>
          <w:sz w:val="48"/>
          <w:szCs w:val="48"/>
          <w:highlight w:val="none"/>
        </w:rPr>
        <w:t>设备维修维护/技改项目合同</w:t>
      </w:r>
    </w:p>
    <w:p>
      <w:pPr>
        <w:spacing w:line="400" w:lineRule="atLeast"/>
        <w:jc w:val="center"/>
        <w:rPr>
          <w:rFonts w:hint="eastAsia" w:ascii="仿宋" w:hAnsi="仿宋" w:eastAsia="仿宋" w:cs="仿宋"/>
          <w:b/>
          <w:color w:val="auto"/>
          <w:sz w:val="28"/>
          <w:highlight w:val="none"/>
        </w:rPr>
      </w:pPr>
    </w:p>
    <w:p>
      <w:pPr>
        <w:spacing w:line="400" w:lineRule="atLeast"/>
        <w:jc w:val="center"/>
        <w:rPr>
          <w:rFonts w:hint="eastAsia" w:ascii="仿宋" w:hAnsi="仿宋" w:eastAsia="仿宋" w:cs="仿宋"/>
          <w:b/>
          <w:color w:val="auto"/>
          <w:sz w:val="28"/>
          <w:highlight w:val="none"/>
        </w:rPr>
      </w:pPr>
    </w:p>
    <w:p>
      <w:pPr>
        <w:spacing w:line="0" w:lineRule="atLeast"/>
        <w:rPr>
          <w:rFonts w:hint="eastAsia" w:ascii="仿宋" w:hAnsi="仿宋" w:eastAsia="仿宋" w:cs="仿宋"/>
          <w:b/>
          <w:color w:val="auto"/>
          <w:sz w:val="30"/>
          <w:highlight w:val="none"/>
        </w:rPr>
      </w:pPr>
    </w:p>
    <w:p>
      <w:pPr>
        <w:spacing w:line="0" w:lineRule="atLeast"/>
        <w:rPr>
          <w:rFonts w:hint="eastAsia" w:ascii="仿宋" w:hAnsi="仿宋" w:eastAsia="仿宋" w:cs="仿宋"/>
          <w:b/>
          <w:color w:val="auto"/>
          <w:sz w:val="30"/>
          <w:szCs w:val="30"/>
          <w:highlight w:val="none"/>
        </w:rPr>
      </w:pPr>
    </w:p>
    <w:p>
      <w:pPr>
        <w:pStyle w:val="29"/>
        <w:spacing w:line="360" w:lineRule="auto"/>
        <w:rPr>
          <w:rFonts w:hint="eastAsia" w:ascii="仿宋" w:hAnsi="仿宋" w:eastAsia="仿宋" w:cs="仿宋"/>
          <w:b/>
          <w:color w:val="auto"/>
          <w:sz w:val="30"/>
          <w:szCs w:val="30"/>
          <w:highlight w:val="none"/>
        </w:rPr>
      </w:pPr>
      <w:r>
        <w:rPr>
          <w:rFonts w:hint="eastAsia" w:ascii="仿宋" w:hAnsi="仿宋" w:eastAsia="仿宋" w:cs="仿宋"/>
          <w:b/>
          <w:color w:val="auto"/>
          <w:sz w:val="30"/>
          <w:szCs w:val="30"/>
          <w:highlight w:val="none"/>
        </w:rPr>
        <w:t>项目名称:</w:t>
      </w:r>
      <w:r>
        <w:rPr>
          <w:rFonts w:hint="eastAsia" w:ascii="仿宋" w:hAnsi="仿宋" w:eastAsia="仿宋" w:cs="仿宋"/>
          <w:b/>
          <w:color w:val="auto"/>
          <w:sz w:val="30"/>
          <w:szCs w:val="30"/>
          <w:highlight w:val="none"/>
          <w:lang w:eastAsia="zh-CN"/>
        </w:rPr>
        <w:t>大坦沙分公司三期滤池超越阀电动执行器优化等项目</w:t>
      </w:r>
    </w:p>
    <w:p>
      <w:pPr>
        <w:spacing w:line="400" w:lineRule="atLeast"/>
        <w:rPr>
          <w:rFonts w:hint="eastAsia" w:ascii="仿宋" w:hAnsi="仿宋" w:eastAsia="仿宋" w:cs="仿宋"/>
          <w:b/>
          <w:color w:val="auto"/>
          <w:sz w:val="30"/>
          <w:szCs w:val="30"/>
          <w:highlight w:val="none"/>
          <w:lang w:val="en-US" w:eastAsia="zh-CN"/>
        </w:rPr>
      </w:pPr>
      <w:r>
        <w:rPr>
          <w:rFonts w:hint="eastAsia" w:ascii="仿宋" w:hAnsi="仿宋" w:eastAsia="仿宋" w:cs="仿宋"/>
          <w:b/>
          <w:color w:val="auto"/>
          <w:sz w:val="30"/>
          <w:szCs w:val="30"/>
          <w:highlight w:val="none"/>
        </w:rPr>
        <w:t>项目编号：</w:t>
      </w:r>
    </w:p>
    <w:p>
      <w:pPr>
        <w:pStyle w:val="23"/>
        <w:rPr>
          <w:rFonts w:hint="eastAsia" w:ascii="仿宋" w:hAnsi="仿宋" w:eastAsia="仿宋" w:cs="仿宋"/>
          <w:color w:val="auto"/>
          <w:highlight w:val="none"/>
        </w:rPr>
      </w:pPr>
    </w:p>
    <w:p>
      <w:pPr>
        <w:spacing w:line="400" w:lineRule="atLeast"/>
        <w:rPr>
          <w:rFonts w:hint="eastAsia" w:ascii="仿宋" w:hAnsi="仿宋" w:eastAsia="仿宋" w:cs="仿宋"/>
          <w:b/>
          <w:bCs/>
          <w:color w:val="auto"/>
          <w:sz w:val="30"/>
          <w:szCs w:val="30"/>
          <w:highlight w:val="none"/>
        </w:rPr>
      </w:pPr>
      <w:r>
        <w:rPr>
          <w:rFonts w:hint="eastAsia" w:ascii="仿宋" w:hAnsi="仿宋" w:eastAsia="仿宋" w:cs="仿宋"/>
          <w:b/>
          <w:color w:val="auto"/>
          <w:sz w:val="30"/>
          <w:szCs w:val="30"/>
          <w:highlight w:val="none"/>
        </w:rPr>
        <w:t>合同编号：</w:t>
      </w:r>
      <w:r>
        <w:rPr>
          <w:rFonts w:hint="eastAsia" w:ascii="仿宋" w:hAnsi="仿宋" w:eastAsia="仿宋" w:cs="仿宋"/>
          <w:b/>
          <w:bCs/>
          <w:color w:val="auto"/>
          <w:sz w:val="30"/>
          <w:szCs w:val="30"/>
          <w:highlight w:val="none"/>
        </w:rPr>
        <w:t>穗净水合[</w:t>
      </w:r>
      <w:r>
        <w:rPr>
          <w:rFonts w:hint="eastAsia" w:ascii="仿宋" w:hAnsi="仿宋" w:eastAsia="仿宋" w:cs="仿宋"/>
          <w:b/>
          <w:bCs/>
          <w:color w:val="auto"/>
          <w:sz w:val="30"/>
          <w:szCs w:val="30"/>
          <w:highlight w:val="none"/>
          <w:lang w:val="en-US" w:eastAsia="zh-CN"/>
        </w:rPr>
        <w:t>2024</w:t>
      </w:r>
      <w:r>
        <w:rPr>
          <w:rFonts w:hint="eastAsia" w:ascii="仿宋" w:hAnsi="仿宋" w:eastAsia="仿宋" w:cs="仿宋"/>
          <w:b/>
          <w:bCs/>
          <w:color w:val="auto"/>
          <w:sz w:val="30"/>
          <w:szCs w:val="30"/>
          <w:highlight w:val="none"/>
        </w:rPr>
        <w:t>]    号</w:t>
      </w:r>
    </w:p>
    <w:p>
      <w:pPr>
        <w:spacing w:line="400" w:lineRule="atLeast"/>
        <w:rPr>
          <w:rFonts w:hint="eastAsia" w:ascii="仿宋" w:hAnsi="仿宋" w:eastAsia="仿宋" w:cs="仿宋"/>
          <w:b/>
          <w:color w:val="auto"/>
          <w:sz w:val="30"/>
          <w:szCs w:val="30"/>
          <w:highlight w:val="none"/>
        </w:rPr>
      </w:pPr>
    </w:p>
    <w:p>
      <w:pPr>
        <w:spacing w:line="400" w:lineRule="atLeast"/>
        <w:rPr>
          <w:rFonts w:hint="eastAsia" w:ascii="仿宋" w:hAnsi="仿宋" w:eastAsia="仿宋" w:cs="仿宋"/>
          <w:b/>
          <w:color w:val="auto"/>
          <w:sz w:val="30"/>
          <w:szCs w:val="30"/>
          <w:highlight w:val="none"/>
        </w:rPr>
      </w:pPr>
      <w:r>
        <w:rPr>
          <w:rFonts w:hint="eastAsia" w:ascii="仿宋" w:hAnsi="仿宋" w:eastAsia="仿宋" w:cs="仿宋"/>
          <w:b/>
          <w:color w:val="auto"/>
          <w:sz w:val="30"/>
          <w:szCs w:val="30"/>
          <w:highlight w:val="none"/>
        </w:rPr>
        <w:t>甲方：广州市净水有限公司</w:t>
      </w:r>
    </w:p>
    <w:p>
      <w:pPr>
        <w:spacing w:line="400" w:lineRule="atLeast"/>
        <w:rPr>
          <w:rFonts w:hint="eastAsia" w:ascii="仿宋" w:hAnsi="仿宋" w:eastAsia="仿宋" w:cs="仿宋"/>
          <w:b/>
          <w:color w:val="auto"/>
          <w:sz w:val="30"/>
          <w:szCs w:val="30"/>
          <w:highlight w:val="none"/>
        </w:rPr>
      </w:pPr>
    </w:p>
    <w:p>
      <w:pPr>
        <w:spacing w:line="400" w:lineRule="atLeast"/>
        <w:rPr>
          <w:rFonts w:hint="eastAsia" w:ascii="仿宋" w:hAnsi="仿宋" w:eastAsia="仿宋" w:cs="仿宋"/>
          <w:b/>
          <w:bCs/>
          <w:color w:val="auto"/>
          <w:sz w:val="30"/>
          <w:szCs w:val="30"/>
          <w:highlight w:val="none"/>
          <w:lang w:val="en-US" w:eastAsia="zh-CN"/>
        </w:rPr>
      </w:pPr>
      <w:r>
        <w:rPr>
          <w:rFonts w:hint="eastAsia" w:ascii="仿宋" w:hAnsi="仿宋" w:eastAsia="仿宋" w:cs="仿宋"/>
          <w:b/>
          <w:color w:val="auto"/>
          <w:sz w:val="30"/>
          <w:szCs w:val="30"/>
          <w:highlight w:val="none"/>
        </w:rPr>
        <w:t>乙方</w:t>
      </w:r>
      <w:r>
        <w:rPr>
          <w:rFonts w:hint="eastAsia" w:ascii="仿宋" w:hAnsi="仿宋" w:eastAsia="仿宋" w:cs="仿宋"/>
          <w:color w:val="auto"/>
          <w:sz w:val="30"/>
          <w:szCs w:val="30"/>
          <w:highlight w:val="none"/>
        </w:rPr>
        <w:t>：</w:t>
      </w:r>
    </w:p>
    <w:p>
      <w:pPr>
        <w:spacing w:line="400" w:lineRule="atLeast"/>
        <w:rPr>
          <w:rFonts w:hint="eastAsia" w:ascii="仿宋" w:hAnsi="仿宋" w:eastAsia="仿宋" w:cs="仿宋"/>
          <w:b/>
          <w:color w:val="auto"/>
          <w:sz w:val="30"/>
          <w:szCs w:val="30"/>
          <w:highlight w:val="none"/>
        </w:rPr>
      </w:pPr>
    </w:p>
    <w:p>
      <w:pPr>
        <w:rPr>
          <w:rFonts w:hint="eastAsia" w:ascii="仿宋" w:hAnsi="仿宋" w:eastAsia="仿宋" w:cs="仿宋"/>
          <w:color w:val="auto"/>
          <w:highlight w:val="none"/>
        </w:rPr>
      </w:pPr>
    </w:p>
    <w:p>
      <w:pPr>
        <w:spacing w:line="400" w:lineRule="atLeast"/>
        <w:rPr>
          <w:rFonts w:hint="eastAsia" w:ascii="仿宋" w:hAnsi="仿宋" w:eastAsia="仿宋" w:cs="仿宋"/>
          <w:b/>
          <w:color w:val="auto"/>
          <w:sz w:val="30"/>
          <w:szCs w:val="30"/>
          <w:highlight w:val="none"/>
        </w:rPr>
      </w:pPr>
      <w:r>
        <w:rPr>
          <w:rFonts w:hint="eastAsia" w:ascii="仿宋" w:hAnsi="仿宋" w:eastAsia="仿宋" w:cs="仿宋"/>
          <w:b/>
          <w:color w:val="auto"/>
          <w:sz w:val="30"/>
          <w:szCs w:val="30"/>
          <w:highlight w:val="none"/>
        </w:rPr>
        <w:t xml:space="preserve">签订日期：       年   月   日       </w:t>
      </w:r>
    </w:p>
    <w:p>
      <w:pPr>
        <w:spacing w:line="400" w:lineRule="atLeast"/>
        <w:rPr>
          <w:rFonts w:hint="eastAsia" w:ascii="仿宋" w:hAnsi="仿宋" w:eastAsia="仿宋" w:cs="仿宋"/>
          <w:b/>
          <w:color w:val="auto"/>
          <w:sz w:val="30"/>
          <w:highlight w:val="none"/>
          <w:lang w:val="en-US" w:eastAsia="zh-CN"/>
        </w:rPr>
      </w:pPr>
      <w:r>
        <w:rPr>
          <w:rFonts w:hint="eastAsia" w:ascii="仿宋" w:hAnsi="仿宋" w:eastAsia="仿宋" w:cs="仿宋"/>
          <w:b/>
          <w:color w:val="auto"/>
          <w:sz w:val="30"/>
          <w:highlight w:val="none"/>
        </w:rPr>
        <w:t>签约地点：广州市</w:t>
      </w:r>
    </w:p>
    <w:p>
      <w:pPr>
        <w:spacing w:before="93" w:beforeLines="30" w:line="500" w:lineRule="exact"/>
        <w:ind w:left="0" w:leftChars="0" w:firstLine="480" w:firstLineChars="20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根据《中华人民共和国民法典》及其他有关法律、行政法规，</w:t>
      </w:r>
      <w:r>
        <w:rPr>
          <w:rFonts w:hint="eastAsia" w:ascii="仿宋" w:hAnsi="仿宋" w:eastAsia="仿宋" w:cs="仿宋"/>
          <w:color w:val="auto"/>
          <w:sz w:val="24"/>
          <w:highlight w:val="none"/>
          <w:u w:val="single"/>
        </w:rPr>
        <w:t>广州市净水有限公司</w:t>
      </w:r>
      <w:r>
        <w:rPr>
          <w:rFonts w:hint="eastAsia" w:ascii="仿宋" w:hAnsi="仿宋" w:eastAsia="仿宋" w:cs="仿宋"/>
          <w:color w:val="auto"/>
          <w:sz w:val="24"/>
          <w:highlight w:val="none"/>
        </w:rPr>
        <w:t xml:space="preserve"> （以下简称“甲方”）与</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 xml:space="preserve"> （以下简称“乙方”）就</w:t>
      </w:r>
      <w:r>
        <w:rPr>
          <w:rFonts w:hint="eastAsia" w:ascii="仿宋" w:hAnsi="仿宋" w:eastAsia="仿宋" w:cs="仿宋"/>
          <w:b w:val="0"/>
          <w:bCs w:val="0"/>
          <w:color w:val="auto"/>
          <w:kern w:val="2"/>
          <w:sz w:val="24"/>
          <w:szCs w:val="24"/>
          <w:highlight w:val="none"/>
          <w:u w:val="single"/>
          <w:lang w:eastAsia="zh-CN" w:bidi="ar"/>
        </w:rPr>
        <w:t>大坦沙分公司三期滤池超越阀电动执行器优化等项目</w:t>
      </w:r>
      <w:r>
        <w:rPr>
          <w:rFonts w:hint="eastAsia" w:ascii="仿宋" w:hAnsi="仿宋" w:eastAsia="仿宋" w:cs="仿宋"/>
          <w:color w:val="auto"/>
          <w:sz w:val="24"/>
          <w:highlight w:val="none"/>
        </w:rPr>
        <w:t>承接工作事宜，遵循平等、自愿、公平和诚实信用的原则，双方协商一致，订立本合同。</w:t>
      </w:r>
    </w:p>
    <w:p>
      <w:pPr>
        <w:spacing w:before="93" w:beforeLines="30" w:line="500" w:lineRule="exact"/>
        <w:ind w:left="210" w:leftChars="100" w:firstLine="482" w:firstLineChars="200"/>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第一条 组成合同的文件及优先顺序</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 xml:space="preserve"> 下列文件（如有）均为本合同的组成部分，可视为能相互说明和补充的，如果合同文件存在歧义或相矛盾的地方，则根据以下次序判断：</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 xml:space="preserve">⑴ </w:t>
      </w:r>
      <w:r>
        <w:rPr>
          <w:rFonts w:hint="eastAsia" w:ascii="仿宋" w:hAnsi="仿宋" w:eastAsia="仿宋" w:cs="仿宋"/>
          <w:color w:val="auto"/>
          <w:sz w:val="24"/>
          <w:highlight w:val="none"/>
        </w:rPr>
        <w:t>在本合同实施过程双方签署的补充与修正文件</w:t>
      </w:r>
      <w:r>
        <w:rPr>
          <w:rFonts w:hint="eastAsia" w:ascii="仿宋" w:hAnsi="仿宋" w:eastAsia="仿宋" w:cs="仿宋"/>
          <w:bCs/>
          <w:color w:val="auto"/>
          <w:sz w:val="24"/>
          <w:highlight w:val="none"/>
        </w:rPr>
        <w:t>；</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⑵ 本合同书；</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 xml:space="preserve">⑶ </w:t>
      </w:r>
      <w:r>
        <w:rPr>
          <w:rFonts w:hint="eastAsia" w:ascii="仿宋" w:hAnsi="仿宋" w:eastAsia="仿宋" w:cs="仿宋"/>
          <w:bCs/>
          <w:color w:val="auto"/>
          <w:sz w:val="24"/>
          <w:szCs w:val="22"/>
          <w:highlight w:val="none"/>
        </w:rPr>
        <w:t>成交通知书</w:t>
      </w:r>
      <w:r>
        <w:rPr>
          <w:rFonts w:hint="eastAsia" w:ascii="仿宋" w:hAnsi="仿宋" w:eastAsia="仿宋" w:cs="仿宋"/>
          <w:bCs/>
          <w:color w:val="auto"/>
          <w:sz w:val="24"/>
          <w:highlight w:val="none"/>
        </w:rPr>
        <w:t>/委托函；</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⑷ 询价文件；</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⑸ 响应文件；</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⑹ 标准、规范及有关技术性文件；</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⑺ 图纸；</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⑻ 工程量清单/</w:t>
      </w:r>
      <w:r>
        <w:rPr>
          <w:rFonts w:hint="eastAsia" w:ascii="仿宋" w:hAnsi="仿宋" w:eastAsia="仿宋" w:cs="仿宋"/>
          <w:color w:val="auto"/>
          <w:sz w:val="24"/>
          <w:highlight w:val="none"/>
        </w:rPr>
        <w:t>工程报价单或预算书；</w:t>
      </w:r>
    </w:p>
    <w:p>
      <w:pPr>
        <w:spacing w:line="500" w:lineRule="exact"/>
        <w:ind w:firstLine="482"/>
        <w:rPr>
          <w:rFonts w:hint="eastAsia" w:ascii="仿宋" w:hAnsi="仿宋" w:eastAsia="仿宋" w:cs="仿宋"/>
          <w:b/>
          <w:bCs/>
          <w:color w:val="auto"/>
          <w:sz w:val="24"/>
          <w:highlight w:val="none"/>
        </w:rPr>
      </w:pPr>
      <w:r>
        <w:rPr>
          <w:rFonts w:hint="eastAsia" w:ascii="仿宋" w:hAnsi="仿宋" w:eastAsia="仿宋" w:cs="仿宋"/>
          <w:bCs/>
          <w:color w:val="auto"/>
          <w:sz w:val="24"/>
          <w:highlight w:val="none"/>
        </w:rPr>
        <w:t>⑼ 本合同其他附件；</w:t>
      </w:r>
    </w:p>
    <w:p>
      <w:pPr>
        <w:spacing w:line="500" w:lineRule="exact"/>
        <w:ind w:firstLine="482"/>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第二条 项目概况、项目承包范围</w:t>
      </w:r>
    </w:p>
    <w:p>
      <w:pPr>
        <w:ind w:left="0" w:leftChars="0" w:firstLine="420" w:firstLineChars="175"/>
        <w:jc w:val="both"/>
        <w:rPr>
          <w:rFonts w:hint="default" w:ascii="仿宋" w:hAnsi="仿宋" w:eastAsia="仿宋" w:cs="仿宋"/>
          <w:b w:val="0"/>
          <w:bCs w:val="0"/>
          <w:color w:val="auto"/>
          <w:sz w:val="24"/>
          <w:szCs w:val="24"/>
          <w:highlight w:val="none"/>
          <w:u w:val="single"/>
          <w:lang w:val="en-US" w:eastAsia="zh-CN"/>
        </w:rPr>
      </w:pPr>
      <w:r>
        <w:rPr>
          <w:rFonts w:hint="eastAsia" w:ascii="仿宋" w:hAnsi="仿宋" w:eastAsia="仿宋" w:cs="仿宋"/>
          <w:sz w:val="24"/>
          <w:szCs w:val="24"/>
        </w:rPr>
        <w:t>2.</w:t>
      </w:r>
      <w:r>
        <w:rPr>
          <w:rFonts w:hint="eastAsia" w:ascii="仿宋" w:hAnsi="仿宋" w:eastAsia="仿宋" w:cs="仿宋"/>
          <w:b w:val="0"/>
          <w:bCs w:val="0"/>
          <w:color w:val="auto"/>
          <w:sz w:val="24"/>
          <w:szCs w:val="24"/>
          <w:highlight w:val="none"/>
          <w:u w:val="single"/>
          <w:lang w:val="en-US" w:eastAsia="zh-CN"/>
        </w:rPr>
        <w:t>1项目名称：项目一：大坦沙分公司三期1#南反应池除臭设备维修项目、项目二：大坦沙分公司一二三期除臭装置优化项目</w:t>
      </w:r>
    </w:p>
    <w:tbl>
      <w:tblPr>
        <w:tblStyle w:val="24"/>
        <w:tblpPr w:leftFromText="180" w:rightFromText="180" w:vertAnchor="text" w:horzAnchor="page" w:tblpX="1392" w:tblpY="576"/>
        <w:tblOverlap w:val="never"/>
        <w:tblW w:w="883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531"/>
        <w:gridCol w:w="1074"/>
        <w:gridCol w:w="2500"/>
        <w:gridCol w:w="473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91" w:hRule="atLeast"/>
        </w:trPr>
        <w:tc>
          <w:tcPr>
            <w:tcW w:w="531"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序号</w:t>
            </w:r>
          </w:p>
        </w:tc>
        <w:tc>
          <w:tcPr>
            <w:tcW w:w="1074"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单位</w:t>
            </w:r>
          </w:p>
        </w:tc>
        <w:tc>
          <w:tcPr>
            <w:tcW w:w="2500"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子项目名称</w:t>
            </w:r>
          </w:p>
        </w:tc>
        <w:tc>
          <w:tcPr>
            <w:tcW w:w="4734"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主要实施内容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183" w:hRule="atLeast"/>
        </w:trPr>
        <w:tc>
          <w:tcPr>
            <w:tcW w:w="531"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1</w:t>
            </w:r>
          </w:p>
        </w:tc>
        <w:tc>
          <w:tcPr>
            <w:tcW w:w="107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大坦沙分</w:t>
            </w:r>
            <w:r>
              <w:rPr>
                <w:rFonts w:ascii="宋体" w:hAnsi="宋体" w:eastAsia="宋体" w:cs="宋体"/>
                <w:color w:val="auto"/>
                <w:kern w:val="0"/>
                <w:sz w:val="20"/>
                <w:szCs w:val="20"/>
                <w:lang w:val="en-US" w:eastAsia="zh-CN" w:bidi="ar"/>
              </w:rPr>
              <w:t>公司</w:t>
            </w:r>
          </w:p>
        </w:tc>
        <w:tc>
          <w:tcPr>
            <w:tcW w:w="2500"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大坦沙分公司三期滤池超越阀电动执行器优化等项目</w:t>
            </w:r>
          </w:p>
        </w:tc>
        <w:tc>
          <w:tcPr>
            <w:tcW w:w="473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1、更换二期滤池超越阀、出水阀，三期滤池超越阀、出水阀、总超越阀电动执行器，更换为IP67防水等级、配加热功能、配3m加长杆的电动执行器；</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2、二期滤池超越阀敷设远程控制电缆、开度反馈信号等至二期滤池低压电房；</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3、更换二期滤池超越阀、出水阀，三期滤池超越阀、出水阀、总超越阀阀门井盖板，更换为花纹不锈钢板；</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更换一二期10#鼓风机出风阀电动执行器，更换为带2.5米延长杆IP67 防水等级电动执行器，并扩建阀门井口更换阀门井盖板。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2</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i w:val="0"/>
                <w:color w:val="auto"/>
                <w:sz w:val="22"/>
                <w:szCs w:val="22"/>
                <w:u w:val="none"/>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大坦沙分公司二期内回流泵远程控制优化等项目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二期3号反应池内回流泵保留现有罗克韦尔POWERFLEX 400系列变频器，断开原PLC的控制回路，增加一台罗克韦尔2080-LC50-24QBB的PLC及RS485通讯模块（设备甲供），从变频器20号485接口敷设控制线至PLC的485通讯模块处，PLC接入以太网，完成接线后可直接在上位机增加对应内回流泵远程控制画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3</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2"/>
                <w:sz w:val="22"/>
                <w:szCs w:val="22"/>
                <w:u w:val="none"/>
                <w:lang w:val="en-US" w:eastAsia="zh-CN" w:bidi="ar-SA"/>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b w:val="0"/>
                <w:bCs w:val="0"/>
                <w:color w:val="auto"/>
                <w:kern w:val="0"/>
                <w:sz w:val="20"/>
                <w:szCs w:val="20"/>
                <w:u w:val="none"/>
                <w:lang w:bidi="ar"/>
              </w:rPr>
            </w:pPr>
            <w:r>
              <w:rPr>
                <w:rFonts w:hint="eastAsia" w:ascii="宋体" w:hAnsi="宋体" w:eastAsia="宋体" w:cs="宋体"/>
                <w:b w:val="0"/>
                <w:bCs w:val="0"/>
                <w:color w:val="auto"/>
                <w:kern w:val="0"/>
                <w:sz w:val="20"/>
                <w:szCs w:val="20"/>
                <w:u w:val="none"/>
                <w:lang w:bidi="ar"/>
              </w:rPr>
              <w:t>大坦沙分公司</w:t>
            </w:r>
            <w:r>
              <w:rPr>
                <w:rFonts w:hint="eastAsia" w:ascii="宋体" w:hAnsi="宋体" w:eastAsia="宋体" w:cs="宋体"/>
                <w:b w:val="0"/>
                <w:bCs w:val="0"/>
                <w:color w:val="auto"/>
                <w:kern w:val="0"/>
                <w:sz w:val="20"/>
                <w:szCs w:val="20"/>
                <w:u w:val="none"/>
                <w:lang w:val="en-US" w:eastAsia="zh-CN" w:bidi="ar"/>
              </w:rPr>
              <w:t>二期生化池光伏照明系统等维修</w:t>
            </w:r>
            <w:r>
              <w:rPr>
                <w:rFonts w:hint="eastAsia" w:ascii="宋体" w:hAnsi="宋体" w:eastAsia="宋体" w:cs="宋体"/>
                <w:b w:val="0"/>
                <w:bCs w:val="0"/>
                <w:color w:val="auto"/>
                <w:kern w:val="0"/>
                <w:sz w:val="20"/>
                <w:szCs w:val="20"/>
                <w:u w:val="none"/>
                <w:lang w:bidi="ar"/>
              </w:rPr>
              <w:t>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ind w:firstLine="400" w:firstLineChars="200"/>
              <w:jc w:val="both"/>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分项一：此项目将使用太阳能和风能作为主要能源供应，利用太阳能光电板和风机将太阳能和风能转化为电能。风光互补型路灯将通过整合能源，有效提高太阳能和风能的利用效率，为厂区提供更加高效、节能的路灯照明系统，响应发展要求。</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 xml:space="preserve">   分项二：二期生化池上的光伏板因老化问题，以及逆变器和蓄电池的损坏，导致二期生化池光伏系统无法正常运行。为确保整个光伏系统的可持续性和稳定性，拟计划对二期光伏系统进行全面修复和升级。确保系统恢复正常功能，并进一步提高整体运行效率。</w:t>
            </w:r>
          </w:p>
          <w:p>
            <w:pPr>
              <w:keepNext w:val="0"/>
              <w:keepLines w:val="0"/>
              <w:widowControl/>
              <w:numPr>
                <w:ilvl w:val="-1"/>
                <w:numId w:val="0"/>
              </w:numPr>
              <w:suppressLineNumbers w:val="0"/>
              <w:pBdr>
                <w:top w:val="none" w:color="auto" w:sz="0" w:space="0"/>
                <w:left w:val="none" w:color="auto" w:sz="0" w:space="0"/>
                <w:bottom w:val="none" w:color="auto" w:sz="0" w:space="0"/>
                <w:right w:val="none" w:color="auto" w:sz="0" w:space="0"/>
              </w:pBdr>
              <w:shd w:val="clear"/>
              <w:wordWrap/>
              <w:spacing w:line="240" w:lineRule="auto"/>
              <w:ind w:firstLine="0" w:firstLineChars="0"/>
              <w:jc w:val="center"/>
              <w:textAlignment w:val="center"/>
              <w:rPr>
                <w:rFonts w:hint="eastAsia" w:ascii="宋体" w:hAnsi="宋体" w:eastAsia="宋体" w:cs="宋体"/>
                <w:color w:val="auto"/>
                <w:kern w:val="0"/>
                <w:sz w:val="20"/>
                <w:szCs w:val="20"/>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4</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2"/>
                <w:sz w:val="22"/>
                <w:szCs w:val="22"/>
                <w:u w:val="none"/>
                <w:lang w:val="en-US" w:eastAsia="zh-CN" w:bidi="ar-SA"/>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b w:val="0"/>
                <w:bCs w:val="0"/>
                <w:color w:val="auto"/>
                <w:kern w:val="0"/>
                <w:sz w:val="20"/>
                <w:szCs w:val="20"/>
                <w:u w:val="none"/>
                <w:lang w:bidi="ar"/>
              </w:rPr>
            </w:pPr>
            <w:r>
              <w:rPr>
                <w:rFonts w:hint="eastAsia" w:ascii="宋体" w:hAnsi="宋体" w:eastAsia="宋体" w:cs="宋体"/>
                <w:b w:val="0"/>
                <w:bCs w:val="0"/>
                <w:color w:val="auto"/>
                <w:kern w:val="0"/>
                <w:sz w:val="20"/>
                <w:szCs w:val="20"/>
                <w:u w:val="none"/>
                <w:lang w:bidi="ar"/>
              </w:rPr>
              <w:t>大坦沙分公司厂区</w:t>
            </w:r>
            <w:r>
              <w:rPr>
                <w:rFonts w:hint="eastAsia" w:ascii="宋体" w:hAnsi="宋体" w:eastAsia="宋体" w:cs="宋体"/>
                <w:b w:val="0"/>
                <w:bCs w:val="0"/>
                <w:color w:val="auto"/>
                <w:kern w:val="0"/>
                <w:sz w:val="20"/>
                <w:szCs w:val="20"/>
                <w:u w:val="none"/>
                <w:lang w:val="en-US" w:eastAsia="zh-CN" w:bidi="ar"/>
              </w:rPr>
              <w:t>滤池等排风机维修</w:t>
            </w:r>
            <w:r>
              <w:rPr>
                <w:rFonts w:hint="eastAsia" w:ascii="宋体" w:hAnsi="宋体" w:eastAsia="宋体" w:cs="宋体"/>
                <w:b w:val="0"/>
                <w:bCs w:val="0"/>
                <w:color w:val="auto"/>
                <w:kern w:val="0"/>
                <w:sz w:val="20"/>
                <w:szCs w:val="20"/>
                <w:u w:val="none"/>
                <w:lang w:bidi="ar"/>
              </w:rPr>
              <w:t>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大坦沙分公司的一期、二期和三期滤池出水廊道共有14台排风机电机损坏且外壳、风叶老旧严重。拟计划将以上损坏的排风扇全部维修更换。</w:t>
            </w:r>
          </w:p>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一二、三期滤池设备间共有15台排风机损坏，滤池设备间空阔，自然通风条件良好，目前通过自然通风完全能满足空气流通的需求。且排气扇安装高度太高，影响其正常清洁和维护。拟计划拆除排气扇，保留风帽和隔网，满足其自然通风需求。</w:t>
            </w:r>
          </w:p>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一期滤池因埋地暗敷线路多处断裂，导致顶层坐地式排风机和池顶路灯相线对地，拟计划重新敷设配电线。</w:t>
            </w:r>
          </w:p>
          <w:p>
            <w:pPr>
              <w:keepNext w:val="0"/>
              <w:keepLines w:val="0"/>
              <w:widowControl/>
              <w:numPr>
                <w:ilvl w:val="-1"/>
                <w:numId w:val="0"/>
              </w:numPr>
              <w:suppressLineNumbers w:val="0"/>
              <w:pBdr>
                <w:top w:val="none" w:color="auto" w:sz="0" w:space="0"/>
                <w:left w:val="none" w:color="auto" w:sz="0" w:space="0"/>
                <w:bottom w:val="none" w:color="auto" w:sz="0" w:space="0"/>
                <w:right w:val="none" w:color="auto" w:sz="0" w:space="0"/>
              </w:pBdr>
              <w:shd w:val="clear"/>
              <w:wordWrap/>
              <w:spacing w:line="240" w:lineRule="auto"/>
              <w:ind w:firstLine="0" w:firstLineChars="0"/>
              <w:jc w:val="center"/>
              <w:textAlignment w:val="center"/>
              <w:rPr>
                <w:rFonts w:hint="eastAsia" w:ascii="宋体" w:hAnsi="宋体" w:eastAsia="宋体" w:cs="宋体"/>
                <w:color w:val="auto"/>
                <w:kern w:val="0"/>
                <w:sz w:val="20"/>
                <w:szCs w:val="20"/>
                <w:u w:val="none"/>
                <w:lang w:val="en-US" w:eastAsia="zh-CN" w:bidi="ar"/>
              </w:rPr>
            </w:pPr>
          </w:p>
        </w:tc>
      </w:tr>
    </w:tbl>
    <w:p>
      <w:pPr>
        <w:spacing w:line="500" w:lineRule="exact"/>
        <w:ind w:firstLine="480" w:firstLineChars="200"/>
        <w:rPr>
          <w:rFonts w:hint="eastAsia" w:ascii="仿宋" w:hAnsi="仿宋" w:eastAsia="仿宋" w:cs="仿宋"/>
          <w:sz w:val="24"/>
          <w:szCs w:val="24"/>
        </w:rPr>
      </w:pPr>
    </w:p>
    <w:p>
      <w:pPr>
        <w:spacing w:line="50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2.2项目地点： </w:t>
      </w:r>
      <w:r>
        <w:rPr>
          <w:rFonts w:hint="eastAsia" w:ascii="仿宋" w:hAnsi="仿宋" w:eastAsia="仿宋" w:cs="仿宋"/>
          <w:sz w:val="24"/>
          <w:szCs w:val="24"/>
          <w:u w:val="single"/>
        </w:rPr>
        <w:t xml:space="preserve">  </w:t>
      </w:r>
      <w:r>
        <w:rPr>
          <w:rFonts w:hint="eastAsia" w:ascii="仿宋" w:hAnsi="仿宋" w:eastAsia="仿宋" w:cs="仿宋"/>
          <w:sz w:val="24"/>
          <w:szCs w:val="24"/>
          <w:u w:val="single"/>
          <w:lang w:val="en-US" w:eastAsia="zh-CN"/>
        </w:rPr>
        <w:t>广州市荔湾区桥中南路7号</w:t>
      </w:r>
      <w:r>
        <w:rPr>
          <w:rFonts w:hint="eastAsia" w:ascii="仿宋" w:hAnsi="仿宋" w:eastAsia="仿宋" w:cs="仿宋"/>
          <w:sz w:val="24"/>
          <w:szCs w:val="24"/>
          <w:u w:val="single"/>
        </w:rPr>
        <w:t>。</w:t>
      </w:r>
    </w:p>
    <w:p>
      <w:pPr>
        <w:spacing w:line="500" w:lineRule="exact"/>
        <w:rPr>
          <w:rFonts w:hint="eastAsia" w:ascii="仿宋" w:hAnsi="仿宋" w:eastAsia="仿宋" w:cs="仿宋"/>
          <w:sz w:val="24"/>
          <w:szCs w:val="24"/>
        </w:rPr>
      </w:pPr>
      <w:r>
        <w:rPr>
          <w:rFonts w:hint="eastAsia" w:ascii="仿宋" w:hAnsi="仿宋" w:eastAsia="仿宋" w:cs="仿宋"/>
          <w:sz w:val="24"/>
          <w:szCs w:val="24"/>
        </w:rPr>
        <w:t xml:space="preserve">    2.3项目承包范围：包括提供所有需要的材料、机械、人工、设施、完成合同约定的工作和服务。按照甲方审核同意的方案、图纸所包括的实施范围和内容进行施工并在质量保修期内承担项目质量保修责任。</w:t>
      </w:r>
    </w:p>
    <w:p>
      <w:pPr>
        <w:spacing w:line="500" w:lineRule="exact"/>
        <w:ind w:firstLine="480" w:firstLineChars="200"/>
        <w:rPr>
          <w:rFonts w:hint="eastAsia" w:ascii="仿宋" w:hAnsi="仿宋" w:eastAsia="仿宋" w:cs="仿宋"/>
          <w:sz w:val="24"/>
          <w:szCs w:val="24"/>
          <w:u w:val="single"/>
          <w:lang w:val="en-US" w:eastAsia="zh-CN"/>
        </w:rPr>
      </w:pPr>
      <w:r>
        <w:rPr>
          <w:rFonts w:hint="eastAsia" w:ascii="仿宋" w:hAnsi="仿宋" w:eastAsia="仿宋" w:cs="仿宋"/>
          <w:sz w:val="24"/>
          <w:szCs w:val="24"/>
        </w:rPr>
        <w:t>2.4项目内容</w:t>
      </w:r>
      <w:r>
        <w:rPr>
          <w:rFonts w:hint="eastAsia" w:ascii="仿宋" w:hAnsi="仿宋" w:eastAsia="仿宋" w:cs="仿宋"/>
          <w:sz w:val="24"/>
          <w:szCs w:val="24"/>
          <w:lang w:eastAsia="zh-CN"/>
        </w:rPr>
        <w:t>：</w:t>
      </w:r>
    </w:p>
    <w:tbl>
      <w:tblPr>
        <w:tblStyle w:val="24"/>
        <w:tblpPr w:leftFromText="180" w:rightFromText="180" w:vertAnchor="text" w:horzAnchor="page" w:tblpX="1392" w:tblpY="576"/>
        <w:tblOverlap w:val="never"/>
        <w:tblW w:w="883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531"/>
        <w:gridCol w:w="1074"/>
        <w:gridCol w:w="2500"/>
        <w:gridCol w:w="473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91" w:hRule="atLeast"/>
        </w:trPr>
        <w:tc>
          <w:tcPr>
            <w:tcW w:w="531"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序号</w:t>
            </w:r>
          </w:p>
        </w:tc>
        <w:tc>
          <w:tcPr>
            <w:tcW w:w="1074"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单位</w:t>
            </w:r>
          </w:p>
        </w:tc>
        <w:tc>
          <w:tcPr>
            <w:tcW w:w="2500"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子项目名称</w:t>
            </w:r>
          </w:p>
        </w:tc>
        <w:tc>
          <w:tcPr>
            <w:tcW w:w="4734"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主要实施内容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183" w:hRule="atLeast"/>
        </w:trPr>
        <w:tc>
          <w:tcPr>
            <w:tcW w:w="531"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1</w:t>
            </w:r>
          </w:p>
        </w:tc>
        <w:tc>
          <w:tcPr>
            <w:tcW w:w="107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大坦沙分</w:t>
            </w:r>
            <w:r>
              <w:rPr>
                <w:rFonts w:ascii="宋体" w:hAnsi="宋体" w:eastAsia="宋体" w:cs="宋体"/>
                <w:color w:val="auto"/>
                <w:kern w:val="0"/>
                <w:sz w:val="20"/>
                <w:szCs w:val="20"/>
                <w:lang w:val="en-US" w:eastAsia="zh-CN" w:bidi="ar"/>
              </w:rPr>
              <w:t>公司</w:t>
            </w:r>
          </w:p>
        </w:tc>
        <w:tc>
          <w:tcPr>
            <w:tcW w:w="2500"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大坦沙分公司三期滤池超越阀电动执行器优化等项目</w:t>
            </w:r>
          </w:p>
        </w:tc>
        <w:tc>
          <w:tcPr>
            <w:tcW w:w="473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1、更换二期滤池超越阀、出水阀，三期滤池超越阀、出水阀、总超越阀电动执行器，更换为IP67防水等级、配加热功能、配3m加长杆的电动执行器；</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2、二期滤池超越阀敷设远程控制电缆、开度反馈信号等至二期滤池低压电房；</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3、更换二期滤池超越阀、出水阀，三期滤池超越阀、出水阀、总超越阀阀门井盖板，更换为花纹不锈钢板；</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更换一二期10#鼓风机出风阀电动执行器，更换为带2.5米延长杆IP67 防水等级电动执行器，并扩建阀门井口更换阀门井盖板。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2</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i w:val="0"/>
                <w:color w:val="auto"/>
                <w:sz w:val="22"/>
                <w:szCs w:val="22"/>
                <w:u w:val="none"/>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大坦沙分公司二期内回流泵远程控制优化等项目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二期3号反应池内回流泵保留现有罗克韦尔POWERFLEX 400系列变频器，断开原PLC的控制回路，增加一台罗克韦尔2080-LC50-24QBB的PLC及RS485通讯模块（设备甲供），从变频器20号485接口敷设控制线至PLC的485通讯模块处，PLC接入以太网，完成接线后可直接在上位机增加对应内回流泵远程控制画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3</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2"/>
                <w:sz w:val="22"/>
                <w:szCs w:val="22"/>
                <w:u w:val="none"/>
                <w:lang w:val="en-US" w:eastAsia="zh-CN" w:bidi="ar-SA"/>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b w:val="0"/>
                <w:bCs w:val="0"/>
                <w:color w:val="auto"/>
                <w:kern w:val="0"/>
                <w:sz w:val="20"/>
                <w:szCs w:val="20"/>
                <w:u w:val="none"/>
                <w:lang w:bidi="ar"/>
              </w:rPr>
            </w:pPr>
            <w:r>
              <w:rPr>
                <w:rFonts w:hint="eastAsia" w:ascii="宋体" w:hAnsi="宋体" w:eastAsia="宋体" w:cs="宋体"/>
                <w:b w:val="0"/>
                <w:bCs w:val="0"/>
                <w:color w:val="auto"/>
                <w:kern w:val="0"/>
                <w:sz w:val="20"/>
                <w:szCs w:val="20"/>
                <w:u w:val="none"/>
                <w:lang w:bidi="ar"/>
              </w:rPr>
              <w:t>大坦沙分公司</w:t>
            </w:r>
            <w:r>
              <w:rPr>
                <w:rFonts w:hint="eastAsia" w:ascii="宋体" w:hAnsi="宋体" w:eastAsia="宋体" w:cs="宋体"/>
                <w:b w:val="0"/>
                <w:bCs w:val="0"/>
                <w:color w:val="auto"/>
                <w:kern w:val="0"/>
                <w:sz w:val="20"/>
                <w:szCs w:val="20"/>
                <w:u w:val="none"/>
                <w:lang w:val="en-US" w:eastAsia="zh-CN" w:bidi="ar"/>
              </w:rPr>
              <w:t>二期生化池光伏照明系统等维修</w:t>
            </w:r>
            <w:r>
              <w:rPr>
                <w:rFonts w:hint="eastAsia" w:ascii="宋体" w:hAnsi="宋体" w:eastAsia="宋体" w:cs="宋体"/>
                <w:b w:val="0"/>
                <w:bCs w:val="0"/>
                <w:color w:val="auto"/>
                <w:kern w:val="0"/>
                <w:sz w:val="20"/>
                <w:szCs w:val="20"/>
                <w:u w:val="none"/>
                <w:lang w:bidi="ar"/>
              </w:rPr>
              <w:t>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ind w:firstLine="400" w:firstLineChars="200"/>
              <w:jc w:val="both"/>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分项一：此项目将使用太阳能和风能作为主要能源供应，利用太阳能光电板和风机将太阳能和风能转化为电能。风光互补型路灯将通过整合能源，有效提高太阳能和风能的利用效率，为厂区提供更加高效、节能的路灯照明系统，响应发展要求。</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 xml:space="preserve">   分项二：二期生化池上的光伏板因老化问题，以及逆变器和蓄电池的损坏，导致二期生化池光伏系统无法正常运行。为确保整个光伏系统的可持续性和稳定性，拟计划对二期光伏系统进行全面修复和升级。确保系统恢复正常功能，并进一步提高整体运行效率。</w:t>
            </w:r>
          </w:p>
          <w:p>
            <w:pPr>
              <w:keepNext w:val="0"/>
              <w:keepLines w:val="0"/>
              <w:widowControl/>
              <w:numPr>
                <w:ilvl w:val="-1"/>
                <w:numId w:val="0"/>
              </w:numPr>
              <w:suppressLineNumbers w:val="0"/>
              <w:pBdr>
                <w:top w:val="none" w:color="auto" w:sz="0" w:space="0"/>
                <w:left w:val="none" w:color="auto" w:sz="0" w:space="0"/>
                <w:bottom w:val="none" w:color="auto" w:sz="0" w:space="0"/>
                <w:right w:val="none" w:color="auto" w:sz="0" w:space="0"/>
              </w:pBdr>
              <w:shd w:val="clear"/>
              <w:wordWrap/>
              <w:spacing w:line="240" w:lineRule="auto"/>
              <w:ind w:firstLine="0" w:firstLineChars="0"/>
              <w:jc w:val="center"/>
              <w:textAlignment w:val="center"/>
              <w:rPr>
                <w:rFonts w:hint="eastAsia" w:ascii="宋体" w:hAnsi="宋体" w:eastAsia="宋体" w:cs="宋体"/>
                <w:color w:val="auto"/>
                <w:kern w:val="0"/>
                <w:sz w:val="20"/>
                <w:szCs w:val="20"/>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4</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2"/>
                <w:sz w:val="22"/>
                <w:szCs w:val="22"/>
                <w:u w:val="none"/>
                <w:lang w:val="en-US" w:eastAsia="zh-CN" w:bidi="ar-SA"/>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b w:val="0"/>
                <w:bCs w:val="0"/>
                <w:color w:val="auto"/>
                <w:kern w:val="0"/>
                <w:sz w:val="20"/>
                <w:szCs w:val="20"/>
                <w:u w:val="none"/>
                <w:lang w:bidi="ar"/>
              </w:rPr>
            </w:pPr>
            <w:r>
              <w:rPr>
                <w:rFonts w:hint="eastAsia" w:ascii="宋体" w:hAnsi="宋体" w:eastAsia="宋体" w:cs="宋体"/>
                <w:b w:val="0"/>
                <w:bCs w:val="0"/>
                <w:color w:val="auto"/>
                <w:kern w:val="0"/>
                <w:sz w:val="20"/>
                <w:szCs w:val="20"/>
                <w:u w:val="none"/>
                <w:lang w:bidi="ar"/>
              </w:rPr>
              <w:t>大坦沙分公司厂区</w:t>
            </w:r>
            <w:r>
              <w:rPr>
                <w:rFonts w:hint="eastAsia" w:ascii="宋体" w:hAnsi="宋体" w:eastAsia="宋体" w:cs="宋体"/>
                <w:b w:val="0"/>
                <w:bCs w:val="0"/>
                <w:color w:val="auto"/>
                <w:kern w:val="0"/>
                <w:sz w:val="20"/>
                <w:szCs w:val="20"/>
                <w:u w:val="none"/>
                <w:lang w:val="en-US" w:eastAsia="zh-CN" w:bidi="ar"/>
              </w:rPr>
              <w:t>滤池等排风机维修</w:t>
            </w:r>
            <w:r>
              <w:rPr>
                <w:rFonts w:hint="eastAsia" w:ascii="宋体" w:hAnsi="宋体" w:eastAsia="宋体" w:cs="宋体"/>
                <w:b w:val="0"/>
                <w:bCs w:val="0"/>
                <w:color w:val="auto"/>
                <w:kern w:val="0"/>
                <w:sz w:val="20"/>
                <w:szCs w:val="20"/>
                <w:u w:val="none"/>
                <w:lang w:bidi="ar"/>
              </w:rPr>
              <w:t>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大坦沙分公司的一期、二期和三期滤池出水廊道共有14台排风机电机损坏且外壳、风叶老旧严重。拟计划将以上损坏的排风扇全部维修更换。</w:t>
            </w:r>
          </w:p>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一二、三期滤池设备间共有15台排风机损坏，滤池设备间空阔，自然通风条件良好，目前通过自然通风完全能满足空气流通的需求。且排气扇安装高度太高，影响其正常清洁和维护。拟计划拆除排气扇，保留风帽和隔网，满足其自然通风需求。</w:t>
            </w:r>
          </w:p>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一期滤池因埋地暗敷线路多处断裂，导致顶层坐地式排风机和池顶路灯相线对地，拟计划重新敷设配电线。</w:t>
            </w:r>
          </w:p>
          <w:p>
            <w:pPr>
              <w:keepNext w:val="0"/>
              <w:keepLines w:val="0"/>
              <w:widowControl/>
              <w:numPr>
                <w:ilvl w:val="-1"/>
                <w:numId w:val="0"/>
              </w:numPr>
              <w:suppressLineNumbers w:val="0"/>
              <w:pBdr>
                <w:top w:val="none" w:color="auto" w:sz="0" w:space="0"/>
                <w:left w:val="none" w:color="auto" w:sz="0" w:space="0"/>
                <w:bottom w:val="none" w:color="auto" w:sz="0" w:space="0"/>
                <w:right w:val="none" w:color="auto" w:sz="0" w:space="0"/>
              </w:pBdr>
              <w:shd w:val="clear"/>
              <w:wordWrap/>
              <w:spacing w:line="240" w:lineRule="auto"/>
              <w:ind w:firstLine="0" w:firstLineChars="0"/>
              <w:jc w:val="center"/>
              <w:textAlignment w:val="center"/>
              <w:rPr>
                <w:rFonts w:hint="eastAsia" w:ascii="宋体" w:hAnsi="宋体" w:eastAsia="宋体" w:cs="宋体"/>
                <w:color w:val="auto"/>
                <w:kern w:val="0"/>
                <w:sz w:val="20"/>
                <w:szCs w:val="20"/>
                <w:u w:val="none"/>
                <w:lang w:val="en-US" w:eastAsia="zh-CN" w:bidi="ar"/>
              </w:rPr>
            </w:pPr>
          </w:p>
        </w:tc>
      </w:tr>
    </w:tbl>
    <w:p>
      <w:pPr>
        <w:spacing w:line="500" w:lineRule="exact"/>
        <w:ind w:firstLine="480" w:firstLineChars="200"/>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（详见技术需求）</w:t>
      </w:r>
    </w:p>
    <w:p>
      <w:pPr>
        <w:spacing w:line="500" w:lineRule="exact"/>
        <w:ind w:firstLine="482" w:firstLineChars="200"/>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第三条 项目承包方式</w:t>
      </w:r>
    </w:p>
    <w:p>
      <w:pPr>
        <w:spacing w:line="500" w:lineRule="exact"/>
        <w:ind w:firstLine="482" w:firstLineChars="200"/>
        <w:rPr>
          <w:rFonts w:hint="eastAsia" w:ascii="仿宋" w:hAnsi="仿宋" w:eastAsia="仿宋" w:cs="仿宋"/>
          <w:color w:val="auto"/>
          <w:sz w:val="24"/>
          <w:highlight w:val="none"/>
        </w:rPr>
      </w:pPr>
      <w:r>
        <w:rPr>
          <w:rFonts w:hint="eastAsia" w:ascii="仿宋" w:hAnsi="仿宋" w:eastAsia="仿宋" w:cs="仿宋"/>
          <w:b/>
          <w:bCs/>
          <w:color w:val="auto"/>
          <w:sz w:val="24"/>
          <w:highlight w:val="none"/>
          <w:lang w:eastAsia="zh-CN"/>
        </w:rPr>
        <w:sym w:font="Wingdings 2" w:char="0052"/>
      </w:r>
      <w:r>
        <w:rPr>
          <w:rFonts w:hint="eastAsia" w:ascii="仿宋" w:hAnsi="仿宋" w:eastAsia="仿宋" w:cs="仿宋"/>
          <w:color w:val="auto"/>
          <w:sz w:val="24"/>
          <w:highlight w:val="none"/>
        </w:rPr>
        <w:t>包工、包料、包工期、包质量、包安全、包文明施工。综合单价包干、项目措施费</w:t>
      </w:r>
      <w:r>
        <w:rPr>
          <w:rFonts w:hint="eastAsia" w:ascii="仿宋" w:hAnsi="仿宋" w:eastAsia="仿宋" w:cs="仿宋"/>
          <w:color w:val="auto"/>
          <w:sz w:val="24"/>
          <w:highlight w:val="none"/>
          <w:lang w:val="en-US" w:eastAsia="zh-CN"/>
        </w:rPr>
        <w:t>按实结算</w:t>
      </w:r>
      <w:r>
        <w:rPr>
          <w:rFonts w:hint="eastAsia" w:ascii="仿宋" w:hAnsi="仿宋" w:eastAsia="仿宋" w:cs="仿宋"/>
          <w:color w:val="auto"/>
          <w:sz w:val="24"/>
          <w:highlight w:val="none"/>
        </w:rPr>
        <w:t>。（单价包干要求附工程量报价/工程预算书）</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bCs/>
          <w:color w:val="auto"/>
          <w:sz w:val="24"/>
          <w:highlight w:val="none"/>
        </w:rPr>
        <w:sym w:font="Wingdings" w:char="00A8"/>
      </w:r>
      <w:r>
        <w:rPr>
          <w:rFonts w:hint="eastAsia" w:ascii="仿宋" w:hAnsi="仿宋" w:eastAsia="仿宋" w:cs="仿宋"/>
          <w:color w:val="auto"/>
          <w:sz w:val="24"/>
          <w:highlight w:val="none"/>
        </w:rPr>
        <w:t>包工、包料、包质量、包工期、包安全、包文明施工、包设计、包调试、包验收的施工图纸，以总价包干形式。</w:t>
      </w:r>
    </w:p>
    <w:p>
      <w:pPr>
        <w:spacing w:line="500" w:lineRule="exact"/>
        <w:ind w:firstLine="482" w:firstLineChars="200"/>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第四条 合同价款</w:t>
      </w:r>
    </w:p>
    <w:p>
      <w:pPr>
        <w:spacing w:line="500" w:lineRule="exact"/>
        <w:ind w:firstLine="480" w:firstLineChars="200"/>
        <w:rPr>
          <w:rFonts w:hint="eastAsia" w:ascii="仿宋" w:hAnsi="仿宋" w:eastAsia="仿宋" w:cs="仿宋"/>
          <w:bCs/>
          <w:color w:val="auto"/>
          <w:sz w:val="24"/>
          <w:highlight w:val="none"/>
          <w:bdr w:val="single" w:color="auto" w:sz="4" w:space="0"/>
        </w:rPr>
      </w:pPr>
      <w:r>
        <w:rPr>
          <w:rFonts w:hint="eastAsia" w:ascii="仿宋" w:hAnsi="仿宋" w:eastAsia="仿宋" w:cs="仿宋"/>
          <w:color w:val="auto"/>
          <w:sz w:val="24"/>
          <w:highlight w:val="none"/>
        </w:rPr>
        <w:t>4.1合同价款按以下</w:t>
      </w:r>
      <w:r>
        <w:rPr>
          <w:rFonts w:hint="eastAsia" w:ascii="仿宋" w:hAnsi="仿宋" w:eastAsia="仿宋" w:cs="仿宋"/>
          <w:color w:val="auto"/>
          <w:sz w:val="24"/>
          <w:highlight w:val="none"/>
          <w:u w:val="single"/>
        </w:rPr>
        <w:t xml:space="preserve"> (1) </w:t>
      </w:r>
      <w:r>
        <w:rPr>
          <w:rFonts w:hint="eastAsia" w:ascii="仿宋" w:hAnsi="仿宋" w:eastAsia="仿宋" w:cs="仿宋"/>
          <w:color w:val="auto"/>
          <w:sz w:val="24"/>
          <w:highlight w:val="none"/>
        </w:rPr>
        <w:t>执行。</w:t>
      </w:r>
    </w:p>
    <w:p>
      <w:pPr>
        <w:numPr>
          <w:ilvl w:val="0"/>
          <w:numId w:val="16"/>
        </w:num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合同以</w:t>
      </w:r>
      <w:r>
        <w:rPr>
          <w:rFonts w:hint="eastAsia" w:ascii="仿宋" w:hAnsi="仿宋" w:eastAsia="仿宋" w:cs="仿宋"/>
          <w:color w:val="auto"/>
          <w:sz w:val="24"/>
          <w:highlight w:val="none"/>
          <w:lang w:val="en-US" w:eastAsia="zh-CN"/>
        </w:rPr>
        <w:t>单价</w:t>
      </w:r>
      <w:r>
        <w:rPr>
          <w:rFonts w:hint="eastAsia" w:ascii="仿宋" w:hAnsi="仿宋" w:eastAsia="仿宋" w:cs="仿宋"/>
          <w:color w:val="auto"/>
          <w:sz w:val="24"/>
          <w:highlight w:val="none"/>
        </w:rPr>
        <w:t>包干形式，合同暂定总价为：</w:t>
      </w:r>
      <w:r>
        <w:rPr>
          <w:rFonts w:hint="eastAsia" w:ascii="仿宋" w:hAnsi="仿宋" w:eastAsia="仿宋" w:cs="仿宋"/>
          <w:b/>
          <w:color w:val="auto"/>
          <w:sz w:val="24"/>
          <w:highlight w:val="none"/>
          <w:u w:val="single"/>
        </w:rPr>
        <w:t xml:space="preserve">人民币 </w:t>
      </w:r>
      <w:r>
        <w:rPr>
          <w:rFonts w:hint="eastAsia" w:ascii="仿宋" w:hAnsi="仿宋" w:eastAsia="仿宋" w:cs="仿宋"/>
          <w:b/>
          <w:color w:val="auto"/>
          <w:sz w:val="24"/>
          <w:highlight w:val="none"/>
          <w:u w:val="single"/>
          <w:lang w:val="en-US" w:eastAsia="zh-CN"/>
        </w:rPr>
        <w:t xml:space="preserve">     </w:t>
      </w:r>
      <w:r>
        <w:rPr>
          <w:rFonts w:hint="eastAsia" w:ascii="仿宋" w:hAnsi="仿宋" w:eastAsia="仿宋" w:cs="仿宋"/>
          <w:b/>
          <w:color w:val="auto"/>
          <w:sz w:val="24"/>
          <w:highlight w:val="none"/>
          <w:u w:val="single"/>
        </w:rPr>
        <w:t xml:space="preserve"> 元</w:t>
      </w:r>
      <w:r>
        <w:rPr>
          <w:rFonts w:hint="eastAsia" w:ascii="仿宋" w:hAnsi="仿宋" w:eastAsia="仿宋" w:cs="仿宋"/>
          <w:color w:val="auto"/>
          <w:sz w:val="24"/>
          <w:highlight w:val="none"/>
        </w:rPr>
        <w:t>（大写:</w:t>
      </w:r>
      <w:r>
        <w:rPr>
          <w:rFonts w:hint="eastAsia" w:ascii="仿宋" w:hAnsi="仿宋" w:eastAsia="仿宋" w:cs="仿宋"/>
          <w:b/>
          <w:color w:val="auto"/>
          <w:sz w:val="24"/>
          <w:highlight w:val="none"/>
          <w:u w:val="single"/>
        </w:rPr>
        <w:t xml:space="preserve"> </w:t>
      </w:r>
      <w:r>
        <w:rPr>
          <w:rFonts w:hint="eastAsia" w:ascii="仿宋" w:hAnsi="仿宋" w:eastAsia="仿宋" w:cs="仿宋"/>
          <w:b/>
          <w:color w:val="auto"/>
          <w:sz w:val="24"/>
          <w:highlight w:val="none"/>
          <w:u w:val="single"/>
          <w:lang w:val="en-US" w:eastAsia="zh-CN"/>
        </w:rPr>
        <w:t xml:space="preserve">          </w:t>
      </w:r>
      <w:r>
        <w:rPr>
          <w:rFonts w:hint="eastAsia" w:ascii="仿宋" w:hAnsi="仿宋" w:eastAsia="仿宋" w:cs="仿宋"/>
          <w:b/>
          <w:color w:val="auto"/>
          <w:sz w:val="24"/>
          <w:highlight w:val="none"/>
          <w:u w:val="single"/>
        </w:rPr>
        <w:t xml:space="preserve"> </w:t>
      </w:r>
      <w:r>
        <w:rPr>
          <w:rFonts w:hint="eastAsia" w:ascii="仿宋" w:hAnsi="仿宋" w:eastAsia="仿宋" w:cs="仿宋"/>
          <w:color w:val="auto"/>
          <w:sz w:val="24"/>
          <w:highlight w:val="none"/>
        </w:rPr>
        <w:t>）。经甲方或甲方委托有资质第三方机构审核后，审核价作为合同结算价。若合同结算价超合同暂定总价，双方另行签订补充协议。</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综合单价</w:t>
      </w:r>
      <w:r>
        <w:rPr>
          <w:rFonts w:hint="eastAsia" w:ascii="仿宋" w:hAnsi="仿宋" w:eastAsia="仿宋" w:cs="仿宋"/>
          <w:color w:val="auto"/>
          <w:sz w:val="24"/>
          <w:highlight w:val="none"/>
          <w:lang w:val="en-US" w:eastAsia="zh-CN"/>
        </w:rPr>
        <w:t>详见</w:t>
      </w:r>
      <w:r>
        <w:rPr>
          <w:rFonts w:hint="eastAsia" w:ascii="仿宋" w:hAnsi="仿宋" w:eastAsia="仿宋" w:cs="仿宋"/>
          <w:color w:val="auto"/>
          <w:sz w:val="24"/>
          <w:highlight w:val="none"/>
        </w:rPr>
        <w:t>附件</w:t>
      </w:r>
      <w:r>
        <w:rPr>
          <w:rFonts w:hint="eastAsia" w:ascii="仿宋" w:hAnsi="仿宋" w:eastAsia="仿宋" w:cs="仿宋"/>
          <w:color w:val="auto"/>
          <w:sz w:val="24"/>
          <w:highlight w:val="none"/>
          <w:lang w:val="en-US" w:eastAsia="zh-CN"/>
        </w:rPr>
        <w:t>4</w:t>
      </w:r>
      <w:r>
        <w:rPr>
          <w:rFonts w:hint="eastAsia" w:ascii="仿宋" w:hAnsi="仿宋" w:eastAsia="仿宋" w:cs="仿宋"/>
          <w:color w:val="auto"/>
          <w:sz w:val="24"/>
          <w:highlight w:val="none"/>
        </w:rPr>
        <w:t>工程量清单报价。</w:t>
      </w:r>
    </w:p>
    <w:p>
      <w:pPr>
        <w:autoSpaceDE w:val="0"/>
        <w:autoSpaceDN w:val="0"/>
        <w:adjustRightIn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合同单价在合同有效期内为不变价。乙方已经充分考虑本合同履行期间的市场风险和国家政策性调整风险系数并已计入报价，因此合同单价在合同有效期内不因任何因素而作调整。</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bCs/>
          <w:color w:val="auto"/>
          <w:sz w:val="24"/>
          <w:highlight w:val="none"/>
        </w:rPr>
        <w:t>（2）</w:t>
      </w:r>
      <w:r>
        <w:rPr>
          <w:rFonts w:hint="eastAsia" w:ascii="仿宋" w:hAnsi="仿宋" w:eastAsia="仿宋" w:cs="仿宋"/>
          <w:color w:val="auto"/>
          <w:sz w:val="24"/>
          <w:highlight w:val="none"/>
        </w:rPr>
        <w:t>合同以总价包干形式，合同暂定总价为：</w:t>
      </w:r>
      <w:r>
        <w:rPr>
          <w:rFonts w:hint="eastAsia" w:ascii="仿宋" w:hAnsi="仿宋" w:eastAsia="仿宋" w:cs="仿宋"/>
          <w:b/>
          <w:color w:val="auto"/>
          <w:sz w:val="24"/>
          <w:highlight w:val="none"/>
          <w:u w:val="single"/>
        </w:rPr>
        <w:t>人民币</w:t>
      </w:r>
      <w:r>
        <w:rPr>
          <w:rFonts w:hint="eastAsia" w:ascii="仿宋" w:hAnsi="仿宋" w:eastAsia="仿宋" w:cs="仿宋"/>
          <w:color w:val="auto"/>
          <w:sz w:val="24"/>
          <w:highlight w:val="none"/>
          <w:u w:val="single"/>
        </w:rPr>
        <w:t xml:space="preserve"> / </w:t>
      </w:r>
      <w:r>
        <w:rPr>
          <w:rFonts w:hint="eastAsia" w:ascii="仿宋" w:hAnsi="仿宋" w:eastAsia="仿宋" w:cs="仿宋"/>
          <w:b/>
          <w:color w:val="auto"/>
          <w:sz w:val="24"/>
          <w:highlight w:val="none"/>
          <w:u w:val="single"/>
        </w:rPr>
        <w:t>元</w:t>
      </w:r>
      <w:r>
        <w:rPr>
          <w:rFonts w:hint="eastAsia" w:ascii="仿宋" w:hAnsi="仿宋" w:eastAsia="仿宋" w:cs="仿宋"/>
          <w:color w:val="auto"/>
          <w:sz w:val="24"/>
          <w:highlight w:val="none"/>
        </w:rPr>
        <w:t>（大写:</w:t>
      </w:r>
      <w:r>
        <w:rPr>
          <w:rFonts w:hint="eastAsia" w:ascii="仿宋" w:hAnsi="仿宋" w:eastAsia="仿宋" w:cs="仿宋"/>
          <w:color w:val="auto"/>
          <w:sz w:val="24"/>
          <w:highlight w:val="none"/>
          <w:u w:val="single"/>
        </w:rPr>
        <w:t xml:space="preserve"> / </w:t>
      </w:r>
      <w:r>
        <w:rPr>
          <w:rFonts w:hint="eastAsia" w:ascii="仿宋" w:hAnsi="仿宋" w:eastAsia="仿宋" w:cs="仿宋"/>
          <w:color w:val="auto"/>
          <w:sz w:val="24"/>
          <w:highlight w:val="none"/>
        </w:rPr>
        <w:t>）。经甲方或甲方委托有资质第三方机构审核后，若结算审核价比合同暂定总价低，则以结算审核价作为合同结算价，否则以合同暂定总价为合同结算价。</w:t>
      </w:r>
    </w:p>
    <w:p>
      <w:pPr>
        <w:tabs>
          <w:tab w:val="left" w:pos="851"/>
        </w:tabs>
        <w:adjustRightInd w:val="0"/>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kern w:val="0"/>
          <w:sz w:val="24"/>
          <w:highlight w:val="none"/>
          <w:lang w:val="zh-CN"/>
        </w:rPr>
        <w:t>4.2</w:t>
      </w:r>
      <w:r>
        <w:rPr>
          <w:rFonts w:hint="eastAsia" w:ascii="仿宋" w:hAnsi="仿宋" w:eastAsia="仿宋" w:cs="仿宋"/>
          <w:color w:val="auto"/>
          <w:kern w:val="0"/>
          <w:sz w:val="24"/>
          <w:highlight w:val="none"/>
        </w:rPr>
        <w:t>本合同约定的价格为含税价价格</w:t>
      </w:r>
      <w:r>
        <w:rPr>
          <w:rFonts w:hint="eastAsia" w:ascii="仿宋" w:hAnsi="仿宋" w:eastAsia="仿宋" w:cs="仿宋"/>
          <w:color w:val="auto"/>
          <w:sz w:val="24"/>
          <w:highlight w:val="none"/>
        </w:rPr>
        <w:t>（</w:t>
      </w:r>
      <w:r>
        <w:rPr>
          <w:rFonts w:hint="eastAsia" w:ascii="仿宋" w:hAnsi="仿宋" w:eastAsia="仿宋" w:cs="仿宋"/>
          <w:color w:val="auto"/>
          <w:sz w:val="24"/>
          <w:highlight w:val="none"/>
          <w:u w:val="single"/>
          <w:lang w:val="en-US" w:eastAsia="zh-CN"/>
        </w:rPr>
        <w:t>税率为  %</w:t>
      </w:r>
      <w:r>
        <w:rPr>
          <w:rFonts w:hint="eastAsia" w:ascii="仿宋" w:hAnsi="仿宋" w:eastAsia="仿宋" w:cs="仿宋"/>
          <w:color w:val="auto"/>
          <w:sz w:val="24"/>
          <w:highlight w:val="none"/>
        </w:rPr>
        <w:t>），合同履行期间国家税率调整或乙方开票的实际税率与前述税率不一致的，不含税价不变，价税合计按实际税率相应调整，以开具发票时间为准。</w:t>
      </w:r>
    </w:p>
    <w:p>
      <w:pPr>
        <w:tabs>
          <w:tab w:val="left" w:pos="851"/>
        </w:tabs>
        <w:adjustRightInd w:val="0"/>
        <w:snapToGrid w:val="0"/>
        <w:spacing w:line="500" w:lineRule="exact"/>
        <w:ind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4.3因非乙方原因引起工程量报价清单中工程量发生增减，且单个子目工程量变化幅度在25%以内（含）时，按工程量报价清单中列明的子目单价结算。否则，按新增单价执行。</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4.4合同中没有适用于变更工程项目的单价的，按新增单价执行。</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新增单价计价原则：</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1.执行《建设工程工程量清单计价规范》（GB50500-2013）及相应的各清单专业的国标工程量计算规范，套用《广东省建设工程计价依据（2018）》、《广东省房屋建筑和市政修缮工程综合定额（2012）》或其他由建设、造价主管部门发布的工程承包合同签订时广州地区适用的定额进行组价。</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2.项目计价材料、设备价格的控制：按以下顺序作为降序优先级依次采用工程开工报告中开工日期当月的下列价格：</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（1）《广州地区建设工程常用材料税前综合价格》（下称综合价格）。</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（2）《广州地区建设工程材料（设备）厂商价格信息》（下称厂商价格）下浮10-20%。</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（3）综合价格、厂商价格中缺项的，采用由北京瑞恒达建筑咨询有限公司提供服务的“慧讯网”中查到的相应材料、设备价格的工程价。</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（4）通过市场询价双方协商确定。</w:t>
      </w:r>
    </w:p>
    <w:p>
      <w:pPr>
        <w:widowControl/>
        <w:tabs>
          <w:tab w:val="left" w:pos="851"/>
        </w:tabs>
        <w:adjustRightInd w:val="0"/>
        <w:snapToGrid w:val="0"/>
        <w:spacing w:line="500" w:lineRule="exact"/>
        <w:ind w:firstLine="480" w:firstLineChars="200"/>
        <w:rPr>
          <w:rFonts w:hint="eastAsia" w:ascii="仿宋" w:hAnsi="仿宋" w:eastAsia="仿宋" w:cs="仿宋"/>
          <w:color w:val="auto"/>
          <w:highlight w:val="none"/>
        </w:rPr>
      </w:pPr>
      <w:r>
        <w:rPr>
          <w:rFonts w:hint="eastAsia" w:ascii="仿宋" w:hAnsi="仿宋" w:eastAsia="仿宋" w:cs="仿宋"/>
          <w:color w:val="auto"/>
          <w:kern w:val="0"/>
          <w:sz w:val="24"/>
          <w:highlight w:val="none"/>
          <w:lang w:val="zh-CN"/>
        </w:rPr>
        <w:t>3.按1、2组价后下浮5%计取。</w:t>
      </w:r>
    </w:p>
    <w:p>
      <w:pPr>
        <w:widowControl/>
        <w:tabs>
          <w:tab w:val="left" w:pos="851"/>
        </w:tabs>
        <w:adjustRightInd w:val="0"/>
        <w:snapToGrid w:val="0"/>
        <w:spacing w:line="500" w:lineRule="exact"/>
        <w:ind w:firstLine="482" w:firstLineChars="200"/>
        <w:jc w:val="left"/>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第五条 工期及要求</w:t>
      </w:r>
    </w:p>
    <w:p>
      <w:pPr>
        <w:widowControl/>
        <w:spacing w:line="500" w:lineRule="exact"/>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5.1开工日期暂定为：</w:t>
      </w:r>
      <w:r>
        <w:rPr>
          <w:rFonts w:hint="eastAsia" w:ascii="仿宋" w:hAnsi="仿宋" w:eastAsia="仿宋" w:cs="仿宋"/>
          <w:color w:val="auto"/>
          <w:sz w:val="24"/>
          <w:highlight w:val="none"/>
          <w:u w:val="single"/>
        </w:rPr>
        <w:t>合同签订后15天内</w:t>
      </w:r>
      <w:r>
        <w:rPr>
          <w:rFonts w:hint="eastAsia" w:ascii="仿宋" w:hAnsi="仿宋" w:eastAsia="仿宋" w:cs="仿宋"/>
          <w:color w:val="auto"/>
          <w:sz w:val="24"/>
          <w:highlight w:val="none"/>
        </w:rPr>
        <w:t>，具体日期以甲方发出的开工报告/</w:t>
      </w:r>
      <w:r>
        <w:rPr>
          <w:rFonts w:hint="eastAsia" w:ascii="仿宋" w:hAnsi="仿宋" w:eastAsia="仿宋" w:cs="仿宋"/>
          <w:color w:val="auto"/>
          <w:sz w:val="24"/>
          <w:highlight w:val="none"/>
          <w:lang w:val="en-US" w:eastAsia="zh-CN"/>
        </w:rPr>
        <w:t>书面</w:t>
      </w:r>
      <w:r>
        <w:rPr>
          <w:rFonts w:hint="eastAsia" w:ascii="仿宋" w:hAnsi="仿宋" w:eastAsia="仿宋" w:cs="仿宋"/>
          <w:color w:val="auto"/>
          <w:sz w:val="24"/>
          <w:highlight w:val="none"/>
        </w:rPr>
        <w:t>通知为准。乙方不能按时开工，应当于开工报告/</w:t>
      </w:r>
      <w:r>
        <w:rPr>
          <w:rFonts w:hint="eastAsia" w:ascii="仿宋" w:hAnsi="仿宋" w:eastAsia="仿宋" w:cs="仿宋"/>
          <w:color w:val="auto"/>
          <w:sz w:val="24"/>
          <w:highlight w:val="none"/>
          <w:lang w:val="en-US" w:eastAsia="zh-CN"/>
        </w:rPr>
        <w:t>书面</w:t>
      </w:r>
      <w:r>
        <w:rPr>
          <w:rFonts w:hint="eastAsia" w:ascii="仿宋" w:hAnsi="仿宋" w:eastAsia="仿宋" w:cs="仿宋"/>
          <w:color w:val="auto"/>
          <w:sz w:val="24"/>
          <w:highlight w:val="none"/>
        </w:rPr>
        <w:t>通知载明的开工日期7天前，以书面形式向甲方提出延期开工的理由。甲方应当在接到延期开工申请后的48小时内以书面形式答复乙方。甲方在接到延期开工申请后48小时内不答复，视为同意乙方要求，工期相应顺延。甲方不同意延期要求或乙方未在规定时间内提出延期开工，工期不予顺延。合同工期</w:t>
      </w:r>
      <w:r>
        <w:rPr>
          <w:rFonts w:hint="eastAsia" w:ascii="仿宋" w:hAnsi="仿宋" w:eastAsia="仿宋" w:cs="仿宋"/>
          <w:color w:val="auto"/>
          <w:sz w:val="24"/>
          <w:highlight w:val="none"/>
          <w:lang w:val="en-US" w:eastAsia="zh-CN"/>
        </w:rPr>
        <w:t>及总日历</w:t>
      </w:r>
      <w:r>
        <w:rPr>
          <w:rFonts w:hint="eastAsia" w:ascii="仿宋" w:hAnsi="仿宋" w:eastAsia="仿宋" w:cs="仿宋"/>
          <w:color w:val="auto"/>
          <w:sz w:val="24"/>
          <w:highlight w:val="none"/>
          <w:u w:val="single"/>
          <w:lang w:val="en-US" w:eastAsia="zh-CN"/>
        </w:rPr>
        <w:t>30</w:t>
      </w:r>
      <w:r>
        <w:rPr>
          <w:rFonts w:hint="eastAsia" w:ascii="仿宋" w:hAnsi="仿宋" w:eastAsia="仿宋" w:cs="仿宋"/>
          <w:color w:val="auto"/>
          <w:sz w:val="24"/>
          <w:highlight w:val="none"/>
          <w:lang w:val="en-US" w:eastAsia="zh-CN"/>
        </w:rPr>
        <w:t>天</w:t>
      </w:r>
      <w:r>
        <w:rPr>
          <w:rFonts w:hint="eastAsia" w:ascii="仿宋" w:hAnsi="仿宋" w:eastAsia="仿宋" w:cs="仿宋"/>
          <w:color w:val="auto"/>
          <w:sz w:val="24"/>
          <w:szCs w:val="24"/>
          <w:highlight w:val="none"/>
          <w:lang w:val="en-US" w:eastAsia="zh-CN"/>
        </w:rPr>
        <w:t>。</w:t>
      </w:r>
      <w:r>
        <w:rPr>
          <w:rFonts w:hint="eastAsia" w:ascii="仿宋" w:hAnsi="仿宋" w:eastAsia="仿宋" w:cs="仿宋"/>
          <w:color w:val="auto"/>
          <w:sz w:val="24"/>
          <w:highlight w:val="none"/>
        </w:rPr>
        <w:t>乙方未能按合同工期竣工验收的，每逾期一天，甲方有权要求乙方按合同暂定总价的 1%支付违约金，逾期达到</w:t>
      </w:r>
      <w:r>
        <w:rPr>
          <w:rFonts w:hint="eastAsia" w:ascii="仿宋" w:hAnsi="仿宋" w:eastAsia="仿宋" w:cs="仿宋"/>
          <w:color w:val="auto"/>
          <w:sz w:val="24"/>
          <w:highlight w:val="none"/>
          <w:u w:val="single"/>
        </w:rPr>
        <w:t>30</w:t>
      </w:r>
      <w:r>
        <w:rPr>
          <w:rFonts w:hint="eastAsia" w:ascii="仿宋" w:hAnsi="仿宋" w:eastAsia="仿宋" w:cs="仿宋"/>
          <w:color w:val="auto"/>
          <w:sz w:val="24"/>
          <w:highlight w:val="none"/>
        </w:rPr>
        <w:t>天及以上的，甲方有权解除合同并要求乙方支付</w:t>
      </w:r>
      <w:r>
        <w:rPr>
          <w:rFonts w:hint="eastAsia" w:ascii="仿宋" w:hAnsi="仿宋" w:eastAsia="仿宋" w:cs="仿宋"/>
          <w:color w:val="auto"/>
          <w:sz w:val="24"/>
          <w:highlight w:val="none"/>
          <w:u w:val="single"/>
        </w:rPr>
        <w:t>合同暂定总价的20%</w:t>
      </w:r>
      <w:r>
        <w:rPr>
          <w:rFonts w:hint="eastAsia" w:ascii="仿宋" w:hAnsi="仿宋" w:eastAsia="仿宋" w:cs="仿宋"/>
          <w:color w:val="auto"/>
          <w:sz w:val="24"/>
          <w:highlight w:val="none"/>
        </w:rPr>
        <w:t>作为违约金。</w:t>
      </w:r>
    </w:p>
    <w:p>
      <w:pPr>
        <w:widowControl/>
        <w:spacing w:line="500" w:lineRule="exact"/>
        <w:ind w:firstLine="480" w:firstLineChars="200"/>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5.2乙方在施工期间应严格遵守《中华人民共和国安全生产法》、《建设工程安全生产管理条例》等法律法规以及文明施工、深夜施工、环卫和城管等规定，建立规章制度和防护措施并向甲方报备。如甲方或相关职能部门在施工过程中发现安全问题或者发出整改通知书，乙方应立即停工整改。如果逾期不整改或者整改不符合合同约定，甲方有权要求乙方支付合同暂定总价的5%/次作为违约金，超过三次（含三次）的，甲方有权解除合同，要求乙方支付合同暂定总价的20%作为违约金。由此造成的经济和法律责任，均由乙方负责。</w:t>
      </w:r>
    </w:p>
    <w:p>
      <w:pPr>
        <w:widowControl/>
        <w:spacing w:line="500" w:lineRule="exact"/>
        <w:ind w:firstLine="480" w:firstLineChars="200"/>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5.3乙方应按合同及甲方提供的技术文件要求进行本项目实施和安装。乙方未经甲方同意，不得将本项目图纸泄露或转给第三人。除乙方存档需要的图纸外，乙方应于项目质量保修期满后</w:t>
      </w:r>
      <w:r>
        <w:rPr>
          <w:rFonts w:hint="eastAsia" w:ascii="仿宋" w:hAnsi="仿宋" w:eastAsia="仿宋" w:cs="仿宋"/>
          <w:bCs/>
          <w:color w:val="auto"/>
          <w:sz w:val="24"/>
          <w:highlight w:val="none"/>
          <w:u w:val="single"/>
        </w:rPr>
        <w:t xml:space="preserve"> 7 </w:t>
      </w:r>
      <w:r>
        <w:rPr>
          <w:rFonts w:hint="eastAsia" w:ascii="仿宋" w:hAnsi="仿宋" w:eastAsia="仿宋" w:cs="仿宋"/>
          <w:bCs/>
          <w:color w:val="auto"/>
          <w:sz w:val="24"/>
          <w:highlight w:val="none"/>
        </w:rPr>
        <w:t>日内将全部图纸退还给甲方。</w:t>
      </w:r>
    </w:p>
    <w:p>
      <w:pPr>
        <w:widowControl/>
        <w:spacing w:line="500" w:lineRule="exact"/>
        <w:ind w:left="1" w:firstLine="480" w:firstLineChars="200"/>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5.4合同约定的项目，乙方不得转包、分包。否则，甲方有权单方面终止合同，并令其立即退场，由此而造成的经济损失由乙方负责赔偿。</w:t>
      </w:r>
    </w:p>
    <w:p>
      <w:pPr>
        <w:widowControl/>
        <w:spacing w:line="500" w:lineRule="exact"/>
        <w:ind w:left="1" w:firstLine="480" w:firstLineChars="200"/>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5.5乙方不履行合同义务、或履行合同义务不符合合同约定、或违反国家、省、市行业标准的，甲方有权要求乙方限期整改。乙方逾期未完成整改的，每项每超过1日支付违约金人民币1万元，超过7日，甲方有权解除合同并要求乙方支付合同暂定总价的20%作为违约金（如合同另行约定违约责任，从其约定）。</w:t>
      </w:r>
    </w:p>
    <w:p>
      <w:pPr>
        <w:pStyle w:val="13"/>
        <w:spacing w:line="500" w:lineRule="exact"/>
        <w:ind w:firstLine="448" w:firstLineChars="200"/>
        <w:outlineLvl w:val="1"/>
        <w:rPr>
          <w:rFonts w:hint="eastAsia" w:ascii="仿宋" w:hAnsi="仿宋" w:eastAsia="仿宋" w:cs="仿宋"/>
          <w:color w:val="auto"/>
          <w:spacing w:val="-8"/>
          <w:sz w:val="24"/>
          <w:szCs w:val="24"/>
          <w:highlight w:val="none"/>
        </w:rPr>
      </w:pPr>
      <w:r>
        <w:rPr>
          <w:rFonts w:hint="eastAsia" w:ascii="仿宋" w:hAnsi="仿宋" w:eastAsia="仿宋" w:cs="仿宋"/>
          <w:color w:val="auto"/>
          <w:spacing w:val="-8"/>
          <w:sz w:val="24"/>
          <w:szCs w:val="24"/>
          <w:highlight w:val="none"/>
        </w:rPr>
        <w:t>5.6乙方不得随意更换项目负责人及附件</w:t>
      </w:r>
      <w:r>
        <w:rPr>
          <w:rFonts w:hint="eastAsia" w:ascii="仿宋" w:hAnsi="仿宋" w:eastAsia="仿宋" w:cs="仿宋"/>
          <w:color w:val="auto"/>
          <w:spacing w:val="-8"/>
          <w:sz w:val="24"/>
          <w:szCs w:val="24"/>
          <w:highlight w:val="none"/>
          <w:lang w:val="en-US" w:eastAsia="zh-CN"/>
        </w:rPr>
        <w:t>5</w:t>
      </w:r>
      <w:r>
        <w:rPr>
          <w:rFonts w:hint="eastAsia" w:ascii="仿宋" w:hAnsi="仿宋" w:eastAsia="仿宋" w:cs="仿宋"/>
          <w:color w:val="auto"/>
          <w:spacing w:val="-8"/>
          <w:sz w:val="24"/>
          <w:szCs w:val="24"/>
          <w:highlight w:val="none"/>
        </w:rPr>
        <w:t>中的相关人员</w:t>
      </w:r>
      <w:r>
        <w:rPr>
          <w:rFonts w:hint="eastAsia" w:ascii="仿宋" w:hAnsi="仿宋" w:eastAsia="仿宋" w:cs="仿宋"/>
          <w:color w:val="auto"/>
          <w:spacing w:val="-8"/>
          <w:sz w:val="24"/>
          <w:szCs w:val="24"/>
          <w:highlight w:val="none"/>
          <w:lang w:eastAsia="zh-CN"/>
        </w:rPr>
        <w:t>（</w:t>
      </w:r>
      <w:r>
        <w:rPr>
          <w:rFonts w:hint="eastAsia" w:ascii="仿宋" w:hAnsi="仿宋" w:eastAsia="仿宋" w:cs="仿宋"/>
          <w:color w:val="auto"/>
          <w:spacing w:val="-8"/>
          <w:sz w:val="24"/>
          <w:szCs w:val="24"/>
          <w:highlight w:val="none"/>
          <w:lang w:val="en-US" w:eastAsia="zh-CN"/>
        </w:rPr>
        <w:t>人员名单应与乙方在响应文件中所载明人员一致</w:t>
      </w:r>
      <w:r>
        <w:rPr>
          <w:rFonts w:hint="eastAsia" w:ascii="仿宋" w:hAnsi="仿宋" w:eastAsia="仿宋" w:cs="仿宋"/>
          <w:color w:val="auto"/>
          <w:spacing w:val="-8"/>
          <w:sz w:val="24"/>
          <w:szCs w:val="24"/>
          <w:highlight w:val="none"/>
          <w:lang w:eastAsia="zh-CN"/>
        </w:rPr>
        <w:t>）</w:t>
      </w:r>
      <w:r>
        <w:rPr>
          <w:rFonts w:hint="eastAsia" w:ascii="仿宋" w:hAnsi="仿宋" w:eastAsia="仿宋" w:cs="仿宋"/>
          <w:color w:val="auto"/>
          <w:spacing w:val="-8"/>
          <w:sz w:val="24"/>
          <w:szCs w:val="24"/>
          <w:highlight w:val="none"/>
        </w:rPr>
        <w:t>，如确须更换，应提前征得甲方同意。如有违反，甲方有权解除合同并要求乙方支付</w:t>
      </w:r>
      <w:r>
        <w:rPr>
          <w:rFonts w:hint="eastAsia" w:ascii="仿宋" w:hAnsi="仿宋" w:eastAsia="仿宋" w:cs="仿宋"/>
          <w:color w:val="auto"/>
          <w:spacing w:val="-8"/>
          <w:sz w:val="24"/>
          <w:szCs w:val="24"/>
          <w:highlight w:val="none"/>
          <w:u w:val="single"/>
        </w:rPr>
        <w:t>5000元/人次</w:t>
      </w:r>
      <w:r>
        <w:rPr>
          <w:rFonts w:hint="eastAsia" w:ascii="仿宋" w:hAnsi="仿宋" w:eastAsia="仿宋" w:cs="仿宋"/>
          <w:color w:val="auto"/>
          <w:spacing w:val="-8"/>
          <w:sz w:val="24"/>
          <w:szCs w:val="24"/>
          <w:highlight w:val="none"/>
        </w:rPr>
        <w:t xml:space="preserve">作为违约金，以及赔偿由此造成的一切损失(包含质量安全事故、工期延误、增加投资等)。   </w:t>
      </w:r>
    </w:p>
    <w:p>
      <w:pPr>
        <w:widowControl/>
        <w:spacing w:line="500" w:lineRule="exact"/>
        <w:ind w:left="1" w:firstLine="448" w:firstLineChars="200"/>
        <w:jc w:val="left"/>
        <w:rPr>
          <w:rFonts w:hint="eastAsia" w:ascii="仿宋" w:hAnsi="仿宋" w:eastAsia="仿宋" w:cs="仿宋"/>
          <w:color w:val="auto"/>
          <w:spacing w:val="-8"/>
          <w:sz w:val="24"/>
          <w:szCs w:val="24"/>
          <w:highlight w:val="none"/>
        </w:rPr>
      </w:pPr>
      <w:r>
        <w:rPr>
          <w:rFonts w:hint="eastAsia" w:ascii="仿宋" w:hAnsi="仿宋" w:eastAsia="仿宋" w:cs="仿宋"/>
          <w:bCs/>
          <w:color w:val="auto"/>
          <w:spacing w:val="-8"/>
          <w:sz w:val="24"/>
          <w:szCs w:val="24"/>
          <w:highlight w:val="none"/>
        </w:rPr>
        <w:t>5.7施工过程中，项目负责人应驻场管理，否则甲方有权要求乙方支付违约</w:t>
      </w:r>
      <w:r>
        <w:rPr>
          <w:rFonts w:hint="eastAsia" w:ascii="仿宋" w:hAnsi="仿宋" w:eastAsia="仿宋" w:cs="仿宋"/>
          <w:bCs/>
          <w:color w:val="auto"/>
          <w:spacing w:val="-8"/>
          <w:sz w:val="24"/>
          <w:szCs w:val="24"/>
          <w:highlight w:val="none"/>
          <w:u w:val="single"/>
        </w:rPr>
        <w:t xml:space="preserve"> 1000元/天</w:t>
      </w:r>
      <w:r>
        <w:rPr>
          <w:rFonts w:hint="eastAsia" w:ascii="仿宋" w:hAnsi="仿宋" w:eastAsia="仿宋" w:cs="仿宋"/>
          <w:bCs/>
          <w:color w:val="auto"/>
          <w:spacing w:val="-8"/>
          <w:sz w:val="24"/>
          <w:szCs w:val="24"/>
          <w:highlight w:val="none"/>
        </w:rPr>
        <w:t>，因此造成损失的，按实际发生额赔偿。</w:t>
      </w:r>
    </w:p>
    <w:p>
      <w:pPr>
        <w:widowControl/>
        <w:spacing w:line="500" w:lineRule="exact"/>
        <w:ind w:left="1" w:firstLine="448" w:firstLineChars="200"/>
        <w:jc w:val="left"/>
        <w:rPr>
          <w:rFonts w:hint="eastAsia" w:ascii="仿宋" w:hAnsi="仿宋" w:eastAsia="仿宋" w:cs="仿宋"/>
          <w:color w:val="auto"/>
          <w:spacing w:val="-8"/>
          <w:sz w:val="24"/>
          <w:szCs w:val="24"/>
          <w:highlight w:val="none"/>
        </w:rPr>
      </w:pPr>
      <w:r>
        <w:rPr>
          <w:rFonts w:hint="eastAsia" w:ascii="仿宋" w:hAnsi="仿宋" w:eastAsia="仿宋" w:cs="仿宋"/>
          <w:color w:val="auto"/>
          <w:spacing w:val="-8"/>
          <w:sz w:val="24"/>
          <w:szCs w:val="24"/>
          <w:highlight w:val="none"/>
        </w:rPr>
        <w:t>5.8施工过程中，乙方应负责配备现场的应急物资。具体应急物资配备详见附件应急救援物资清单。</w:t>
      </w:r>
    </w:p>
    <w:p>
      <w:pPr>
        <w:widowControl/>
        <w:spacing w:line="500" w:lineRule="exact"/>
        <w:ind w:left="1" w:firstLine="448" w:firstLineChars="200"/>
        <w:jc w:val="left"/>
        <w:rPr>
          <w:rFonts w:hint="eastAsia" w:ascii="仿宋" w:hAnsi="仿宋" w:eastAsia="仿宋" w:cs="仿宋"/>
          <w:color w:val="auto"/>
          <w:sz w:val="24"/>
          <w:szCs w:val="24"/>
          <w:highlight w:val="none"/>
          <w:lang w:val="en-US" w:eastAsia="zh-CN"/>
        </w:rPr>
      </w:pPr>
      <w:r>
        <w:rPr>
          <w:rFonts w:hint="eastAsia" w:ascii="仿宋" w:hAnsi="仿宋" w:eastAsia="仿宋" w:cs="仿宋"/>
          <w:color w:val="auto"/>
          <w:spacing w:val="-8"/>
          <w:sz w:val="24"/>
          <w:szCs w:val="24"/>
          <w:highlight w:val="none"/>
        </w:rPr>
        <w:t>5.9</w:t>
      </w:r>
      <w:r>
        <w:rPr>
          <w:rFonts w:hint="eastAsia" w:ascii="仿宋" w:hAnsi="仿宋" w:eastAsia="仿宋" w:cs="仿宋"/>
          <w:color w:val="auto"/>
          <w:sz w:val="24"/>
          <w:szCs w:val="24"/>
          <w:highlight w:val="none"/>
          <w:lang w:val="en-US" w:eastAsia="zh-CN"/>
        </w:rPr>
        <w:t>在合同有效期内，乙方自愿接受甲方按《营运项目承包单位日常履约考评参照表（安全）》《</w:t>
      </w:r>
      <w:r>
        <w:rPr>
          <w:rFonts w:hint="eastAsia" w:ascii="仿宋" w:hAnsi="仿宋" w:eastAsia="仿宋" w:cs="仿宋"/>
          <w:color w:val="auto"/>
          <w:sz w:val="24"/>
          <w:szCs w:val="24"/>
          <w:highlight w:val="none"/>
        </w:rPr>
        <w:t>营运项目承包单位综合履约考评表（安全）</w:t>
      </w:r>
      <w:r>
        <w:rPr>
          <w:rFonts w:hint="eastAsia" w:ascii="仿宋" w:hAnsi="仿宋" w:eastAsia="仿宋" w:cs="仿宋"/>
          <w:color w:val="auto"/>
          <w:sz w:val="24"/>
          <w:szCs w:val="24"/>
          <w:highlight w:val="none"/>
          <w:lang w:val="en-US" w:eastAsia="zh-CN"/>
        </w:rPr>
        <w:t>》处理，具体处理标准详见附件6、7。</w:t>
      </w:r>
    </w:p>
    <w:p>
      <w:pPr>
        <w:widowControl/>
        <w:spacing w:line="500" w:lineRule="exact"/>
        <w:ind w:left="1" w:firstLine="480" w:firstLineChars="200"/>
        <w:jc w:val="left"/>
        <w:rPr>
          <w:rFonts w:hint="eastAsia" w:ascii="仿宋" w:hAnsi="仿宋" w:eastAsia="仿宋" w:cs="仿宋"/>
          <w:color w:val="auto"/>
          <w:sz w:val="24"/>
          <w:szCs w:val="24"/>
          <w:highlight w:val="none"/>
          <w:lang w:val="en-US" w:eastAsia="zh-CN"/>
        </w:rPr>
      </w:pPr>
    </w:p>
    <w:p>
      <w:pPr>
        <w:spacing w:line="500" w:lineRule="exact"/>
        <w:ind w:firstLine="482" w:firstLineChars="20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第六条 实施条件及管理要求</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6.1甲方提供临时设施及材料实施场地，乙方确认在签订合同前已查看过甲方所提供的场地及周围的环境，掌握所有与项目实施有关或对项目实施有影响的情况，乙方进场后因场地因素所产生的后果均由乙方负责。</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6.2施工用水用电采用以下</w:t>
      </w:r>
      <w:r>
        <w:rPr>
          <w:rFonts w:hint="eastAsia" w:ascii="仿宋" w:hAnsi="仿宋" w:eastAsia="仿宋" w:cs="仿宋"/>
          <w:color w:val="auto"/>
          <w:sz w:val="24"/>
          <w:highlight w:val="none"/>
          <w:u w:val="single"/>
        </w:rPr>
        <w:t>(</w:t>
      </w:r>
      <w:r>
        <w:rPr>
          <w:rFonts w:hint="eastAsia" w:ascii="仿宋" w:hAnsi="仿宋" w:eastAsia="仿宋" w:cs="仿宋"/>
          <w:color w:val="auto"/>
          <w:sz w:val="24"/>
          <w:highlight w:val="none"/>
          <w:u w:val="single"/>
          <w:lang w:val="en-US" w:eastAsia="zh-CN"/>
        </w:rPr>
        <w:t>1</w:t>
      </w:r>
      <w:r>
        <w:rPr>
          <w:rFonts w:hint="eastAsia" w:ascii="仿宋" w:hAnsi="仿宋" w:eastAsia="仿宋" w:cs="仿宋"/>
          <w:color w:val="auto"/>
          <w:sz w:val="24"/>
          <w:highlight w:val="none"/>
          <w:u w:val="single"/>
        </w:rPr>
        <w:t>)</w:t>
      </w:r>
      <w:r>
        <w:rPr>
          <w:rFonts w:hint="eastAsia" w:ascii="仿宋" w:hAnsi="仿宋" w:eastAsia="仿宋" w:cs="仿宋"/>
          <w:color w:val="auto"/>
          <w:sz w:val="24"/>
          <w:highlight w:val="none"/>
        </w:rPr>
        <w:t>方式执行。</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（1）由甲方提供施工用水用电接口，水电费按合同综合单价水电含量计算，从甲方支付的工程款中直接扣回。</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（2）由甲方提供施工用水用电接口，费用按</w:t>
      </w:r>
      <w:r>
        <w:rPr>
          <w:rFonts w:hint="eastAsia" w:ascii="仿宋" w:hAnsi="仿宋" w:eastAsia="仿宋" w:cs="仿宋"/>
          <w:color w:val="auto"/>
          <w:sz w:val="24"/>
          <w:highlight w:val="none"/>
          <w:u w:val="single"/>
        </w:rPr>
        <w:t xml:space="preserve"> / </w:t>
      </w:r>
      <w:r>
        <w:rPr>
          <w:rFonts w:hint="eastAsia" w:ascii="仿宋" w:hAnsi="仿宋" w:eastAsia="仿宋" w:cs="仿宋"/>
          <w:color w:val="auto"/>
          <w:sz w:val="24"/>
          <w:highlight w:val="none"/>
        </w:rPr>
        <w:t>（月/项）目结算，由乙方向甲方或甲方下辖分公司/子公司支付。水电费用按所属供电局、自来水公司收费标准，按实计算。</w:t>
      </w:r>
    </w:p>
    <w:p>
      <w:pPr>
        <w:pStyle w:val="29"/>
        <w:spacing w:line="500" w:lineRule="exact"/>
        <w:ind w:firstLine="480" w:firstLineChars="200"/>
        <w:rPr>
          <w:rFonts w:hint="eastAsia" w:ascii="仿宋" w:hAnsi="仿宋" w:eastAsia="仿宋" w:cs="仿宋"/>
          <w:color w:val="auto"/>
          <w:kern w:val="2"/>
          <w:szCs w:val="20"/>
          <w:highlight w:val="none"/>
        </w:rPr>
      </w:pPr>
      <w:r>
        <w:rPr>
          <w:rFonts w:hint="eastAsia" w:ascii="仿宋" w:hAnsi="仿宋" w:eastAsia="仿宋" w:cs="仿宋"/>
          <w:color w:val="auto"/>
          <w:kern w:val="2"/>
          <w:szCs w:val="20"/>
          <w:highlight w:val="none"/>
        </w:rPr>
        <w:t>（3）由乙方自行负责。</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6.3施工时间安排：上午7：00-12：00，下午14：00-18：00，施工时间如需变动，以甲方的书面或口头通知为准。</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6.4进场施工人员必须严格遵守</w:t>
      </w:r>
      <w:r>
        <w:rPr>
          <w:rFonts w:hint="eastAsia" w:ascii="仿宋" w:hAnsi="仿宋" w:eastAsia="仿宋" w:cs="仿宋"/>
          <w:color w:val="auto"/>
          <w:kern w:val="10"/>
          <w:sz w:val="24"/>
          <w:highlight w:val="none"/>
        </w:rPr>
        <w:t>污水处理厂</w:t>
      </w:r>
      <w:r>
        <w:rPr>
          <w:rFonts w:hint="eastAsia" w:ascii="仿宋" w:hAnsi="仿宋" w:eastAsia="仿宋" w:cs="仿宋"/>
          <w:color w:val="auto"/>
          <w:sz w:val="24"/>
          <w:highlight w:val="none"/>
        </w:rPr>
        <w:t>一切规章制度。进入施工现场人员必须佩戴出入证，并自觉接受门岗检查。</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6.5环境保护要求：</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（1）做好施工噪声、废气、废水等控制；</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（2）按照国家及广州市相关规定做好建筑垃圾的处理。</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lang w:val="en-US" w:eastAsia="zh-CN"/>
        </w:rPr>
        <w:t>6.6</w:t>
      </w:r>
      <w:r>
        <w:rPr>
          <w:rFonts w:hint="eastAsia" w:ascii="仿宋" w:hAnsi="仿宋" w:eastAsia="仿宋" w:cs="仿宋"/>
          <w:color w:val="auto"/>
          <w:sz w:val="24"/>
          <w:highlight w:val="none"/>
        </w:rPr>
        <w:t>本项目开展期间，</w:t>
      </w:r>
      <w:r>
        <w:rPr>
          <w:rFonts w:hint="eastAsia" w:ascii="仿宋" w:hAnsi="仿宋" w:eastAsia="仿宋" w:cs="仿宋"/>
          <w:color w:val="auto"/>
          <w:sz w:val="24"/>
          <w:highlight w:val="none"/>
          <w:lang w:val="en-US" w:eastAsia="zh-CN"/>
        </w:rPr>
        <w:t>乙方</w:t>
      </w:r>
      <w:r>
        <w:rPr>
          <w:rFonts w:hint="eastAsia" w:ascii="仿宋" w:hAnsi="仿宋" w:eastAsia="仿宋" w:cs="仿宋"/>
          <w:color w:val="auto"/>
          <w:sz w:val="24"/>
          <w:highlight w:val="none"/>
        </w:rPr>
        <w:t>必须整理好本项目的所有的技术资料，不限于项目安装图、设备说明书、电气布局图</w:t>
      </w:r>
      <w:r>
        <w:rPr>
          <w:rFonts w:hint="eastAsia" w:ascii="仿宋" w:hAnsi="仿宋" w:eastAsia="仿宋" w:cs="仿宋"/>
          <w:color w:val="auto"/>
          <w:sz w:val="24"/>
          <w:highlight w:val="none"/>
          <w:lang w:eastAsia="zh-CN"/>
        </w:rPr>
        <w:t>、</w:t>
      </w:r>
      <w:r>
        <w:rPr>
          <w:rFonts w:hint="eastAsia" w:ascii="仿宋" w:hAnsi="仿宋" w:eastAsia="仿宋" w:cs="仿宋"/>
          <w:color w:val="auto"/>
          <w:sz w:val="24"/>
          <w:highlight w:val="none"/>
          <w:lang w:val="en-US" w:eastAsia="zh-CN"/>
        </w:rPr>
        <w:t>完整PLC程序</w:t>
      </w:r>
      <w:r>
        <w:rPr>
          <w:rFonts w:hint="eastAsia" w:ascii="仿宋" w:hAnsi="仿宋" w:eastAsia="仿宋" w:cs="仿宋"/>
          <w:color w:val="auto"/>
          <w:sz w:val="24"/>
          <w:highlight w:val="none"/>
        </w:rPr>
        <w:t>等。项目竣工后，</w:t>
      </w:r>
      <w:r>
        <w:rPr>
          <w:rFonts w:hint="eastAsia" w:ascii="仿宋" w:hAnsi="仿宋" w:eastAsia="仿宋" w:cs="仿宋"/>
          <w:color w:val="auto"/>
          <w:sz w:val="24"/>
          <w:highlight w:val="none"/>
          <w:lang w:val="en-US" w:eastAsia="zh-CN"/>
        </w:rPr>
        <w:t>乙方</w:t>
      </w:r>
      <w:r>
        <w:rPr>
          <w:rFonts w:hint="eastAsia" w:ascii="仿宋" w:hAnsi="仿宋" w:eastAsia="仿宋" w:cs="仿宋"/>
          <w:color w:val="auto"/>
          <w:sz w:val="24"/>
          <w:highlight w:val="none"/>
        </w:rPr>
        <w:t>将所有关于本项目的技术资料整理好并交至</w:t>
      </w:r>
      <w:r>
        <w:rPr>
          <w:rFonts w:hint="eastAsia" w:ascii="仿宋" w:hAnsi="仿宋" w:eastAsia="仿宋" w:cs="仿宋"/>
          <w:color w:val="auto"/>
          <w:sz w:val="24"/>
          <w:highlight w:val="none"/>
          <w:lang w:val="en-US" w:eastAsia="zh-CN"/>
        </w:rPr>
        <w:t>甲方</w:t>
      </w:r>
      <w:r>
        <w:rPr>
          <w:rFonts w:hint="eastAsia" w:ascii="仿宋" w:hAnsi="仿宋" w:eastAsia="仿宋" w:cs="仿宋"/>
          <w:color w:val="auto"/>
          <w:sz w:val="24"/>
          <w:highlight w:val="none"/>
        </w:rPr>
        <w:t>。</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lang w:val="en-US" w:eastAsia="zh-CN"/>
        </w:rPr>
        <w:t>6.7</w:t>
      </w:r>
      <w:r>
        <w:rPr>
          <w:rFonts w:hint="eastAsia" w:ascii="仿宋" w:hAnsi="仿宋" w:eastAsia="仿宋" w:cs="仿宋"/>
          <w:color w:val="auto"/>
          <w:sz w:val="24"/>
          <w:highlight w:val="none"/>
        </w:rPr>
        <w:t>项目完成后，</w:t>
      </w:r>
      <w:r>
        <w:rPr>
          <w:rFonts w:hint="eastAsia" w:ascii="仿宋" w:hAnsi="仿宋" w:eastAsia="仿宋" w:cs="仿宋"/>
          <w:color w:val="auto"/>
          <w:sz w:val="24"/>
          <w:highlight w:val="none"/>
          <w:lang w:val="en-US" w:eastAsia="zh-CN"/>
        </w:rPr>
        <w:t>乙</w:t>
      </w:r>
      <w:r>
        <w:rPr>
          <w:rFonts w:hint="eastAsia" w:ascii="仿宋" w:hAnsi="仿宋" w:eastAsia="仿宋" w:cs="仿宋"/>
          <w:color w:val="auto"/>
          <w:sz w:val="24"/>
          <w:highlight w:val="none"/>
        </w:rPr>
        <w:t>方要完成系统详细使用说明并交至</w:t>
      </w:r>
      <w:r>
        <w:rPr>
          <w:rFonts w:hint="eastAsia" w:ascii="仿宋" w:hAnsi="仿宋" w:eastAsia="仿宋" w:cs="仿宋"/>
          <w:color w:val="auto"/>
          <w:sz w:val="24"/>
          <w:highlight w:val="none"/>
          <w:lang w:val="en-US" w:eastAsia="zh-CN"/>
        </w:rPr>
        <w:t>甲方</w:t>
      </w:r>
      <w:r>
        <w:rPr>
          <w:rFonts w:hint="eastAsia" w:ascii="仿宋" w:hAnsi="仿宋" w:eastAsia="仿宋" w:cs="仿宋"/>
          <w:color w:val="auto"/>
          <w:sz w:val="24"/>
          <w:highlight w:val="none"/>
        </w:rPr>
        <w:t>。</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w:t>
      </w:r>
      <w:r>
        <w:rPr>
          <w:rFonts w:hint="eastAsia" w:ascii="仿宋" w:hAnsi="仿宋" w:eastAsia="仿宋" w:cs="仿宋"/>
          <w:color w:val="auto"/>
          <w:sz w:val="24"/>
          <w:highlight w:val="none"/>
          <w:lang w:val="en-US" w:eastAsia="zh-CN"/>
        </w:rPr>
        <w:t>8</w:t>
      </w:r>
      <w:r>
        <w:rPr>
          <w:rFonts w:hint="eastAsia" w:ascii="仿宋" w:hAnsi="仿宋" w:eastAsia="仿宋" w:cs="仿宋"/>
          <w:color w:val="auto"/>
          <w:sz w:val="24"/>
          <w:highlight w:val="none"/>
        </w:rPr>
        <w:t>按相关法律法规及甲方相关作业施工管理要求执行。</w:t>
      </w:r>
    </w:p>
    <w:p>
      <w:pPr>
        <w:pStyle w:val="13"/>
        <w:spacing w:line="500" w:lineRule="exact"/>
        <w:rPr>
          <w:rFonts w:hint="eastAsia" w:ascii="仿宋" w:hAnsi="仿宋" w:eastAsia="仿宋" w:cs="仿宋"/>
          <w:b/>
          <w:bCs/>
          <w:color w:val="auto"/>
          <w:sz w:val="24"/>
          <w:szCs w:val="24"/>
          <w:highlight w:val="none"/>
        </w:rPr>
      </w:pPr>
      <w:r>
        <w:rPr>
          <w:rFonts w:hint="eastAsia" w:ascii="仿宋" w:hAnsi="仿宋" w:eastAsia="仿宋" w:cs="仿宋"/>
          <w:color w:val="auto"/>
          <w:sz w:val="24"/>
          <w:szCs w:val="24"/>
          <w:highlight w:val="none"/>
        </w:rPr>
        <w:t xml:space="preserve">    </w:t>
      </w:r>
      <w:r>
        <w:rPr>
          <w:rFonts w:hint="eastAsia" w:ascii="仿宋" w:hAnsi="仿宋" w:eastAsia="仿宋" w:cs="仿宋"/>
          <w:b/>
          <w:bCs/>
          <w:color w:val="auto"/>
          <w:sz w:val="24"/>
          <w:szCs w:val="24"/>
          <w:highlight w:val="none"/>
        </w:rPr>
        <w:t>第七条 材料及设备供应</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本项目承包范围内所需的设备材料、成品、未成品、运输、保管、质量等责任均由乙方承担。甲方不提供材料。</w:t>
      </w:r>
    </w:p>
    <w:p>
      <w:pPr>
        <w:spacing w:line="500" w:lineRule="exact"/>
        <w:ind w:left="-2" w:leftChars="-1"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7.1采购供应的材料、其名称、品种、型号、规格、质量等，均应符合国家、地方及行业有关规范及要求。</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7.2所有材料必须具备合格证明，并保证产品的有效性。</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7.3由于乙方提供的伪劣、假冒等所有不合格材料而导致的损失、事故及一切后果，均由乙方负责并赔偿甲方所有损失，并负责更换所有已施工的不合格材料。</w:t>
      </w:r>
    </w:p>
    <w:p>
      <w:pPr>
        <w:tabs>
          <w:tab w:val="left" w:pos="360"/>
        </w:tabs>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7.4乙方必须根据投标文件/询价响应文件（如有）上主要材料的明细（包括厂家、规格、品质等级等）提供材料。工程实施时，如发现材料不一致，甲方有权拒用，造成损失由乙方承担。</w:t>
      </w:r>
    </w:p>
    <w:p>
      <w:pPr>
        <w:spacing w:line="500" w:lineRule="exact"/>
        <w:ind w:left="-2" w:leftChars="-1"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7.5 甲方有权对施工质量进行监督、检查或检验，也可自行委托第三方进行质量检验，甲方或第三方的检验结果作为最终的质量评定结果。</w:t>
      </w:r>
    </w:p>
    <w:p>
      <w:pPr>
        <w:spacing w:line="500" w:lineRule="exact"/>
        <w:ind w:left="-2" w:leftChars="-1"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7.6 承包范围之内工程所用之设备，由乙方提供。</w:t>
      </w:r>
    </w:p>
    <w:p>
      <w:pPr>
        <w:spacing w:line="500" w:lineRule="exact"/>
        <w:ind w:left="-2" w:leftChars="-1" w:firstLine="480" w:firstLineChars="200"/>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lang w:val="en-US" w:eastAsia="zh-CN"/>
        </w:rPr>
        <w:t>7.7 乙方应向甲方完整移交所有设备控制程序，包括但不限于PLC控制程序文件、触摸屏工程文件、上位机画面工程文件、编译文件、相关文档及已授权的程序读写编辑工具。</w:t>
      </w:r>
    </w:p>
    <w:p>
      <w:pPr>
        <w:spacing w:line="500" w:lineRule="exact"/>
        <w:ind w:left="-2" w:leftChars="-1" w:firstLine="480" w:firstLineChars="200"/>
        <w:rPr>
          <w:rFonts w:hint="default" w:ascii="仿宋" w:hAnsi="仿宋" w:eastAsia="仿宋" w:cs="仿宋"/>
          <w:color w:val="auto"/>
          <w:sz w:val="24"/>
          <w:highlight w:val="none"/>
          <w:lang w:val="en-US" w:eastAsia="zh-CN"/>
        </w:rPr>
      </w:pPr>
      <w:r>
        <w:rPr>
          <w:rFonts w:hint="eastAsia" w:ascii="仿宋" w:hAnsi="仿宋" w:eastAsia="仿宋" w:cs="仿宋"/>
          <w:color w:val="auto"/>
          <w:sz w:val="24"/>
          <w:highlight w:val="none"/>
          <w:lang w:val="en-US" w:eastAsia="zh-CN"/>
        </w:rPr>
        <w:t>7.8控制程序应确保功能完整、性能稳定，满足甲方对设备操作与控制的需求。</w:t>
      </w:r>
    </w:p>
    <w:p>
      <w:pPr>
        <w:spacing w:line="500" w:lineRule="exact"/>
        <w:ind w:firstLine="482" w:firstLineChars="200"/>
        <w:rPr>
          <w:rFonts w:hint="eastAsia" w:ascii="仿宋" w:hAnsi="仿宋" w:eastAsia="仿宋" w:cs="仿宋"/>
          <w:color w:val="auto"/>
          <w:sz w:val="24"/>
          <w:highlight w:val="none"/>
        </w:rPr>
      </w:pPr>
      <w:r>
        <w:rPr>
          <w:rFonts w:hint="eastAsia" w:ascii="仿宋" w:hAnsi="仿宋" w:eastAsia="仿宋" w:cs="仿宋"/>
          <w:b/>
          <w:bCs/>
          <w:color w:val="auto"/>
          <w:sz w:val="24"/>
          <w:highlight w:val="none"/>
        </w:rPr>
        <w:t>第八条 付</w:t>
      </w:r>
      <w:r>
        <w:rPr>
          <w:rFonts w:hint="eastAsia" w:ascii="仿宋" w:hAnsi="仿宋" w:eastAsia="仿宋" w:cs="仿宋"/>
          <w:b/>
          <w:color w:val="auto"/>
          <w:sz w:val="24"/>
          <w:highlight w:val="none"/>
        </w:rPr>
        <w:t>款及履约担保</w:t>
      </w:r>
    </w:p>
    <w:p>
      <w:pPr>
        <w:spacing w:line="500" w:lineRule="exact"/>
        <w:ind w:firstLine="480" w:firstLineChars="200"/>
        <w:rPr>
          <w:rFonts w:hint="eastAsia" w:ascii="仿宋" w:hAnsi="仿宋" w:eastAsia="仿宋" w:cs="仿宋"/>
          <w:bCs/>
          <w:color w:val="auto"/>
          <w:sz w:val="24"/>
          <w:highlight w:val="none"/>
          <w:u w:val="single"/>
        </w:rPr>
      </w:pPr>
      <w:r>
        <w:rPr>
          <w:rFonts w:hint="eastAsia" w:ascii="仿宋" w:hAnsi="仿宋" w:eastAsia="仿宋" w:cs="仿宋"/>
          <w:color w:val="auto"/>
          <w:sz w:val="24"/>
          <w:highlight w:val="none"/>
        </w:rPr>
        <w:t>8.1</w:t>
      </w:r>
      <w:r>
        <w:rPr>
          <w:rFonts w:hint="eastAsia" w:ascii="仿宋" w:hAnsi="仿宋" w:eastAsia="仿宋" w:cs="仿宋"/>
          <w:bCs/>
          <w:color w:val="auto"/>
          <w:sz w:val="24"/>
          <w:highlight w:val="none"/>
        </w:rPr>
        <w:t>预付款的支付：</w:t>
      </w:r>
      <w:r>
        <w:rPr>
          <w:rFonts w:hint="eastAsia" w:ascii="仿宋" w:hAnsi="仿宋" w:eastAsia="仿宋" w:cs="仿宋"/>
          <w:b/>
          <w:color w:val="auto"/>
          <w:sz w:val="24"/>
          <w:highlight w:val="none"/>
        </w:rPr>
        <w:sym w:font="Wingdings" w:char="00A8"/>
      </w:r>
      <w:r>
        <w:rPr>
          <w:rFonts w:hint="eastAsia" w:ascii="仿宋" w:hAnsi="仿宋" w:eastAsia="仿宋" w:cs="仿宋"/>
          <w:bCs/>
          <w:color w:val="auto"/>
          <w:sz w:val="24"/>
          <w:highlight w:val="none"/>
        </w:rPr>
        <w:t xml:space="preserve">无； </w:t>
      </w:r>
      <w:r>
        <w:rPr>
          <w:rFonts w:hint="eastAsia" w:ascii="仿宋" w:hAnsi="仿宋" w:eastAsia="仿宋" w:cs="仿宋"/>
          <w:b/>
          <w:bCs/>
          <w:color w:val="auto"/>
          <w:sz w:val="24"/>
          <w:highlight w:val="none"/>
        </w:rPr>
        <w:sym w:font="Wingdings 2" w:char="0052"/>
      </w:r>
      <w:r>
        <w:rPr>
          <w:rFonts w:hint="eastAsia" w:ascii="仿宋" w:hAnsi="仿宋" w:eastAsia="仿宋" w:cs="仿宋"/>
          <w:bCs/>
          <w:color w:val="auto"/>
          <w:sz w:val="24"/>
          <w:highlight w:val="none"/>
        </w:rPr>
        <w:t>有</w:t>
      </w:r>
      <w:r>
        <w:rPr>
          <w:rFonts w:hint="eastAsia" w:ascii="仿宋" w:hAnsi="仿宋" w:eastAsia="仿宋" w:cs="仿宋"/>
          <w:b/>
          <w:color w:val="auto"/>
          <w:sz w:val="24"/>
          <w:highlight w:val="none"/>
        </w:rPr>
        <w:t xml:space="preserve"> </w:t>
      </w:r>
      <w:r>
        <w:rPr>
          <w:rFonts w:hint="eastAsia" w:ascii="仿宋" w:hAnsi="仿宋" w:eastAsia="仿宋" w:cs="仿宋"/>
          <w:bCs/>
          <w:color w:val="auto"/>
          <w:sz w:val="24"/>
          <w:highlight w:val="none"/>
        </w:rPr>
        <w:t>合同签订后，乙方开具等额的增值税专用发票及</w:t>
      </w:r>
      <w:r>
        <w:rPr>
          <w:rFonts w:hint="eastAsia" w:ascii="仿宋" w:hAnsi="仿宋" w:eastAsia="仿宋" w:cs="仿宋"/>
          <w:bCs/>
          <w:color w:val="auto"/>
          <w:sz w:val="24"/>
          <w:highlight w:val="none"/>
          <w:lang w:val="en-US" w:eastAsia="zh-CN"/>
        </w:rPr>
        <w:t>甲方审批开工报告后</w:t>
      </w:r>
      <w:r>
        <w:rPr>
          <w:rFonts w:hint="eastAsia" w:ascii="仿宋" w:hAnsi="仿宋" w:eastAsia="仿宋" w:cs="仿宋"/>
          <w:bCs/>
          <w:color w:val="auto"/>
          <w:sz w:val="24"/>
          <w:highlight w:val="none"/>
          <w:u w:val="single"/>
        </w:rPr>
        <w:t xml:space="preserve"> 10 </w:t>
      </w:r>
      <w:r>
        <w:rPr>
          <w:rFonts w:hint="eastAsia" w:ascii="仿宋" w:hAnsi="仿宋" w:eastAsia="仿宋" w:cs="仿宋"/>
          <w:bCs/>
          <w:color w:val="auto"/>
          <w:sz w:val="24"/>
          <w:highlight w:val="none"/>
        </w:rPr>
        <w:t>个工作日内，甲方支付合同</w:t>
      </w:r>
      <w:r>
        <w:rPr>
          <w:rFonts w:hint="eastAsia" w:ascii="仿宋" w:hAnsi="仿宋" w:eastAsia="仿宋" w:cs="仿宋"/>
          <w:color w:val="auto"/>
          <w:sz w:val="24"/>
          <w:highlight w:val="none"/>
        </w:rPr>
        <w:t>暂定总价</w:t>
      </w:r>
      <w:r>
        <w:rPr>
          <w:rFonts w:hint="eastAsia" w:ascii="仿宋" w:hAnsi="仿宋" w:eastAsia="仿宋" w:cs="仿宋"/>
          <w:bCs/>
          <w:color w:val="auto"/>
          <w:sz w:val="24"/>
          <w:highlight w:val="none"/>
        </w:rPr>
        <w:t>的</w:t>
      </w:r>
      <w:r>
        <w:rPr>
          <w:rFonts w:hint="eastAsia" w:ascii="仿宋" w:hAnsi="仿宋" w:eastAsia="仿宋" w:cs="仿宋"/>
          <w:bCs/>
          <w:color w:val="auto"/>
          <w:sz w:val="24"/>
          <w:highlight w:val="none"/>
          <w:u w:val="single"/>
        </w:rPr>
        <w:t>30%</w:t>
      </w:r>
      <w:r>
        <w:rPr>
          <w:rFonts w:hint="eastAsia" w:ascii="仿宋" w:hAnsi="仿宋" w:eastAsia="仿宋" w:cs="仿宋"/>
          <w:color w:val="auto"/>
          <w:sz w:val="24"/>
          <w:highlight w:val="none"/>
        </w:rPr>
        <w:t>即</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元（大写：</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r>
        <w:rPr>
          <w:rFonts w:hint="eastAsia" w:ascii="仿宋" w:hAnsi="仿宋" w:eastAsia="仿宋" w:cs="仿宋"/>
          <w:bCs/>
          <w:color w:val="auto"/>
          <w:sz w:val="24"/>
          <w:highlight w:val="none"/>
        </w:rPr>
        <w:t>作为预付款。</w:t>
      </w:r>
      <w:r>
        <w:rPr>
          <w:rFonts w:hint="eastAsia" w:ascii="仿宋" w:hAnsi="仿宋" w:eastAsia="仿宋" w:cs="仿宋"/>
          <w:color w:val="auto"/>
          <w:sz w:val="24"/>
          <w:highlight w:val="none"/>
        </w:rPr>
        <w:t>若合同解除或终止，乙方在</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10</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个工作日内返还预付款（无息）。</w:t>
      </w:r>
      <w:r>
        <w:rPr>
          <w:rFonts w:hint="eastAsia" w:ascii="仿宋" w:hAnsi="仿宋" w:eastAsia="仿宋" w:cs="仿宋"/>
          <w:bCs/>
          <w:color w:val="auto"/>
          <w:kern w:val="0"/>
          <w:sz w:val="24"/>
          <w:highlight w:val="none"/>
        </w:rPr>
        <w:t>逾期未返还，每逾期一天，乙方应按合同暂定总价的</w:t>
      </w:r>
      <w:r>
        <w:rPr>
          <w:rFonts w:hint="eastAsia" w:ascii="仿宋" w:hAnsi="仿宋" w:eastAsia="仿宋" w:cs="仿宋"/>
          <w:bCs/>
          <w:color w:val="auto"/>
          <w:kern w:val="0"/>
          <w:sz w:val="24"/>
          <w:highlight w:val="none"/>
          <w:u w:val="single"/>
        </w:rPr>
        <w:t>万分之五/天</w:t>
      </w:r>
      <w:r>
        <w:rPr>
          <w:rFonts w:hint="eastAsia" w:ascii="仿宋" w:hAnsi="仿宋" w:eastAsia="仿宋" w:cs="仿宋"/>
          <w:bCs/>
          <w:color w:val="auto"/>
          <w:kern w:val="0"/>
          <w:sz w:val="24"/>
          <w:highlight w:val="none"/>
        </w:rPr>
        <w:t>支付违约金</w:t>
      </w:r>
      <w:r>
        <w:rPr>
          <w:rFonts w:hint="eastAsia" w:ascii="仿宋" w:hAnsi="仿宋" w:eastAsia="仿宋" w:cs="仿宋"/>
          <w:color w:val="auto"/>
          <w:sz w:val="24"/>
          <w:highlight w:val="none"/>
        </w:rPr>
        <w:t>。</w:t>
      </w:r>
    </w:p>
    <w:p>
      <w:pPr>
        <w:pStyle w:val="13"/>
        <w:spacing w:line="500" w:lineRule="exact"/>
        <w:ind w:firstLine="480" w:firstLineChars="200"/>
        <w:outlineLvl w:val="1"/>
        <w:rPr>
          <w:rFonts w:hint="eastAsia" w:ascii="仿宋" w:hAnsi="仿宋" w:eastAsia="仿宋" w:cs="仿宋"/>
          <w:color w:val="auto"/>
          <w:sz w:val="24"/>
          <w:highlight w:val="none"/>
          <w:u w:val="single"/>
          <w:lang w:val="en-US" w:eastAsia="zh-CN"/>
        </w:rPr>
      </w:pPr>
      <w:r>
        <w:rPr>
          <w:rFonts w:hint="eastAsia" w:ascii="仿宋" w:hAnsi="仿宋" w:eastAsia="仿宋" w:cs="仿宋"/>
          <w:color w:val="auto"/>
          <w:sz w:val="24"/>
          <w:szCs w:val="24"/>
          <w:highlight w:val="none"/>
        </w:rPr>
        <w:t>8.2</w:t>
      </w:r>
      <w:r>
        <w:rPr>
          <w:rFonts w:hint="eastAsia" w:ascii="仿宋" w:hAnsi="仿宋" w:eastAsia="仿宋" w:cs="仿宋"/>
          <w:color w:val="auto"/>
          <w:sz w:val="24"/>
          <w:szCs w:val="24"/>
          <w:highlight w:val="none"/>
          <w:lang w:val="en-US" w:eastAsia="zh-CN"/>
        </w:rPr>
        <w:t>全部</w:t>
      </w:r>
      <w:r>
        <w:rPr>
          <w:rFonts w:hint="eastAsia" w:ascii="仿宋" w:hAnsi="仿宋" w:eastAsia="仿宋" w:cs="仿宋"/>
          <w:color w:val="auto"/>
          <w:sz w:val="24"/>
          <w:szCs w:val="24"/>
          <w:highlight w:val="none"/>
        </w:rPr>
        <w:t>项目验收合格后，由乙方提交申请支付资料 15 个工作日内，甲方支付至合同暂定总价的</w:t>
      </w:r>
      <w:r>
        <w:rPr>
          <w:rFonts w:hint="eastAsia" w:ascii="仿宋" w:hAnsi="仿宋" w:eastAsia="仿宋" w:cs="仿宋"/>
          <w:color w:val="auto"/>
          <w:sz w:val="24"/>
          <w:szCs w:val="24"/>
          <w:highlight w:val="none"/>
          <w:u w:val="single"/>
          <w:lang w:val="en-US" w:eastAsia="zh-CN"/>
        </w:rPr>
        <w:t>80%</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8.2.1</w:t>
      </w:r>
      <w:r>
        <w:rPr>
          <w:rFonts w:hint="eastAsia" w:ascii="仿宋" w:hAnsi="仿宋" w:eastAsia="仿宋" w:cs="仿宋"/>
          <w:color w:val="auto"/>
          <w:sz w:val="24"/>
          <w:highlight w:val="none"/>
          <w:lang w:val="en-US" w:eastAsia="zh-CN"/>
        </w:rPr>
        <w:t>全部</w:t>
      </w:r>
      <w:r>
        <w:rPr>
          <w:rFonts w:hint="eastAsia" w:ascii="仿宋" w:hAnsi="仿宋" w:eastAsia="仿宋" w:cs="仿宋"/>
          <w:color w:val="auto"/>
          <w:sz w:val="24"/>
          <w:highlight w:val="none"/>
        </w:rPr>
        <w:t>项目验收合</w:t>
      </w:r>
      <w:r>
        <w:rPr>
          <w:rFonts w:hint="eastAsia" w:ascii="仿宋" w:hAnsi="仿宋" w:eastAsia="仿宋" w:cs="仿宋"/>
          <w:color w:val="auto"/>
          <w:sz w:val="24"/>
          <w:highlight w:val="none"/>
          <w:lang w:val="en-US" w:eastAsia="zh-CN"/>
        </w:rPr>
        <w:t>格</w:t>
      </w:r>
      <w:r>
        <w:rPr>
          <w:rFonts w:hint="eastAsia" w:ascii="仿宋" w:hAnsi="仿宋" w:eastAsia="仿宋" w:cs="仿宋"/>
          <w:color w:val="auto"/>
          <w:sz w:val="24"/>
          <w:highlight w:val="none"/>
        </w:rPr>
        <w:t>后，经甲方或甲方委托有资质第三方机构审核后，由乙方提交申请支付资料</w:t>
      </w:r>
      <w:r>
        <w:rPr>
          <w:rFonts w:hint="eastAsia" w:ascii="仿宋" w:hAnsi="仿宋" w:eastAsia="仿宋" w:cs="仿宋"/>
          <w:color w:val="auto"/>
          <w:sz w:val="24"/>
          <w:highlight w:val="none"/>
          <w:u w:val="single"/>
        </w:rPr>
        <w:t>15</w:t>
      </w:r>
      <w:r>
        <w:rPr>
          <w:rFonts w:hint="eastAsia" w:ascii="仿宋" w:hAnsi="仿宋" w:eastAsia="仿宋" w:cs="仿宋"/>
          <w:color w:val="auto"/>
          <w:sz w:val="24"/>
          <w:highlight w:val="none"/>
        </w:rPr>
        <w:t>个工作日内，甲方支付至合同结算价的</w:t>
      </w:r>
      <w:r>
        <w:rPr>
          <w:rFonts w:hint="eastAsia" w:ascii="仿宋" w:hAnsi="仿宋" w:eastAsia="仿宋" w:cs="仿宋"/>
          <w:color w:val="auto"/>
          <w:sz w:val="24"/>
          <w:highlight w:val="none"/>
          <w:lang w:val="en-US" w:eastAsia="zh-CN"/>
        </w:rPr>
        <w:t>95</w:t>
      </w:r>
      <w:r>
        <w:rPr>
          <w:rFonts w:hint="eastAsia" w:ascii="仿宋" w:hAnsi="仿宋" w:eastAsia="仿宋" w:cs="仿宋"/>
          <w:color w:val="auto"/>
          <w:sz w:val="24"/>
          <w:highlight w:val="none"/>
        </w:rPr>
        <w:t>%。</w:t>
      </w:r>
    </w:p>
    <w:p>
      <w:pPr>
        <w:spacing w:line="500" w:lineRule="exact"/>
        <w:ind w:firstLine="480" w:firstLineChars="200"/>
        <w:outlineLvl w:val="1"/>
        <w:rPr>
          <w:rFonts w:hint="eastAsia" w:ascii="仿宋" w:hAnsi="仿宋" w:eastAsia="仿宋" w:cs="仿宋"/>
          <w:color w:val="auto"/>
          <w:sz w:val="24"/>
          <w:highlight w:val="none"/>
          <w:u w:val="single"/>
          <w:lang w:val="en-US" w:eastAsia="zh-CN"/>
        </w:rPr>
      </w:pPr>
      <w:r>
        <w:rPr>
          <w:rFonts w:hint="eastAsia" w:ascii="仿宋" w:hAnsi="仿宋" w:eastAsia="仿宋" w:cs="仿宋"/>
          <w:color w:val="auto"/>
          <w:sz w:val="24"/>
          <w:highlight w:val="none"/>
        </w:rPr>
        <w:t>8.2.</w:t>
      </w:r>
      <w:r>
        <w:rPr>
          <w:rFonts w:hint="eastAsia" w:ascii="仿宋" w:hAnsi="仿宋" w:eastAsia="仿宋" w:cs="仿宋"/>
          <w:color w:val="auto"/>
          <w:sz w:val="24"/>
          <w:highlight w:val="none"/>
          <w:lang w:val="en-US" w:eastAsia="zh-CN"/>
        </w:rPr>
        <w:t>1</w:t>
      </w:r>
      <w:r>
        <w:rPr>
          <w:rFonts w:hint="eastAsia" w:ascii="仿宋" w:hAnsi="仿宋" w:eastAsia="仿宋" w:cs="仿宋"/>
          <w:color w:val="auto"/>
          <w:sz w:val="24"/>
          <w:highlight w:val="none"/>
        </w:rPr>
        <w:t>本项目工程款的支付单位为：</w:t>
      </w:r>
      <w:r>
        <w:rPr>
          <w:rFonts w:hint="eastAsia" w:ascii="仿宋" w:hAnsi="仿宋" w:eastAsia="仿宋" w:cs="仿宋"/>
          <w:color w:val="auto"/>
          <w:sz w:val="24"/>
          <w:highlight w:val="none"/>
          <w:u w:val="single"/>
          <w:lang w:val="en-US" w:eastAsia="zh-CN"/>
        </w:rPr>
        <w:t>广州市净水有限公司大坦沙分公司</w:t>
      </w:r>
    </w:p>
    <w:p>
      <w:pPr>
        <w:spacing w:line="500" w:lineRule="exact"/>
        <w:ind w:firstLine="480" w:firstLineChars="200"/>
        <w:outlineLvl w:val="9"/>
        <w:rPr>
          <w:rFonts w:hint="eastAsia" w:ascii="仿宋" w:hAnsi="仿宋" w:eastAsia="仿宋" w:cs="仿宋"/>
          <w:color w:val="auto"/>
          <w:sz w:val="24"/>
          <w:highlight w:val="none"/>
        </w:rPr>
      </w:pPr>
      <w:r>
        <w:rPr>
          <w:rFonts w:hint="eastAsia" w:ascii="仿宋" w:hAnsi="仿宋" w:eastAsia="仿宋" w:cs="仿宋"/>
          <w:color w:val="auto"/>
          <w:sz w:val="24"/>
          <w:highlight w:val="none"/>
          <w:u w:val="none"/>
          <w:lang w:val="en-US" w:eastAsia="zh-CN"/>
        </w:rPr>
        <w:t>8.2.2质保期按合同第十条规定执行，质保期满后且乙方不存在违约情形，由乙方提交申请质保金退还资料 15 个工作日内，由甲方属下大坦沙分公司支付合同结算价的5％（质保金）给乙方（无息）。</w:t>
      </w:r>
    </w:p>
    <w:p>
      <w:pPr>
        <w:spacing w:line="500" w:lineRule="exact"/>
        <w:ind w:firstLine="480" w:firstLineChars="200"/>
        <w:outlineLvl w:val="1"/>
        <w:rPr>
          <w:rFonts w:hint="eastAsia" w:ascii="仿宋" w:hAnsi="仿宋" w:eastAsia="仿宋" w:cs="仿宋"/>
          <w:color w:val="auto"/>
          <w:sz w:val="24"/>
          <w:highlight w:val="none"/>
        </w:rPr>
      </w:pPr>
      <w:r>
        <w:rPr>
          <w:rFonts w:hint="eastAsia" w:ascii="仿宋" w:hAnsi="仿宋" w:eastAsia="仿宋" w:cs="仿宋"/>
          <w:color w:val="auto"/>
          <w:sz w:val="24"/>
          <w:highlight w:val="none"/>
        </w:rPr>
        <w:t>8.3</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乙方收款账户：</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rPr>
        <w:t>；</w:t>
      </w:r>
    </w:p>
    <w:p>
      <w:pPr>
        <w:keepNext w:val="0"/>
        <w:keepLines w:val="0"/>
        <w:pageBreakBefore w:val="0"/>
        <w:kinsoku/>
        <w:wordWrap/>
        <w:overflowPunct/>
        <w:topLinePunct w:val="0"/>
        <w:bidi w:val="0"/>
        <w:spacing w:line="460" w:lineRule="exact"/>
        <w:ind w:firstLine="1080" w:firstLineChars="45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收款账号：</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p>
    <w:p>
      <w:pPr>
        <w:spacing w:line="384" w:lineRule="auto"/>
        <w:ind w:firstLine="1200" w:firstLineChars="500"/>
        <w:rPr>
          <w:rFonts w:hint="eastAsia" w:ascii="仿宋" w:hAnsi="仿宋" w:eastAsia="仿宋" w:cs="仿宋"/>
          <w:color w:val="auto"/>
          <w:sz w:val="24"/>
          <w:highlight w:val="none"/>
        </w:rPr>
      </w:pPr>
      <w:r>
        <w:rPr>
          <w:rFonts w:hint="eastAsia" w:ascii="仿宋" w:hAnsi="仿宋" w:eastAsia="仿宋" w:cs="仿宋"/>
          <w:color w:val="auto"/>
          <w:sz w:val="24"/>
          <w:highlight w:val="none"/>
        </w:rPr>
        <w:t>开户行：</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8.4乙方在收款前需提交等额增值税专用发票给甲方。增值税专用发票信息：</w:t>
      </w:r>
    </w:p>
    <w:p>
      <w:pPr>
        <w:spacing w:line="500" w:lineRule="exact"/>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名称：广州市净水有限公司</w:t>
      </w:r>
    </w:p>
    <w:p>
      <w:pPr>
        <w:spacing w:line="500" w:lineRule="exact"/>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税号：</w:t>
      </w:r>
      <w:r>
        <w:rPr>
          <w:rFonts w:hint="eastAsia" w:ascii="仿宋" w:hAnsi="仿宋" w:eastAsia="仿宋" w:cs="仿宋"/>
          <w:color w:val="auto"/>
          <w:sz w:val="24"/>
          <w:highlight w:val="none"/>
          <w:u w:val="single"/>
        </w:rPr>
        <w:t>91440101755584729Q</w:t>
      </w:r>
    </w:p>
    <w:p>
      <w:pPr>
        <w:spacing w:line="500" w:lineRule="exact"/>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地址及电话：</w:t>
      </w:r>
      <w:r>
        <w:rPr>
          <w:rFonts w:hint="eastAsia" w:ascii="仿宋" w:hAnsi="仿宋" w:eastAsia="仿宋" w:cs="仿宋"/>
          <w:color w:val="auto"/>
          <w:sz w:val="24"/>
          <w:highlight w:val="none"/>
          <w:u w:val="single"/>
        </w:rPr>
        <w:t>广州市天河区临江大道501号 020-38890283</w:t>
      </w:r>
      <w:r>
        <w:rPr>
          <w:rFonts w:hint="eastAsia" w:ascii="仿宋" w:hAnsi="仿宋" w:eastAsia="仿宋" w:cs="仿宋"/>
          <w:color w:val="auto"/>
          <w:sz w:val="24"/>
          <w:highlight w:val="none"/>
        </w:rPr>
        <w:t>；</w:t>
      </w:r>
    </w:p>
    <w:p>
      <w:pPr>
        <w:spacing w:line="500" w:lineRule="exact"/>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开户行/账号：</w:t>
      </w:r>
      <w:r>
        <w:rPr>
          <w:rFonts w:hint="eastAsia" w:ascii="仿宋" w:hAnsi="仿宋" w:eastAsia="仿宋" w:cs="仿宋"/>
          <w:color w:val="auto"/>
          <w:sz w:val="24"/>
          <w:highlight w:val="none"/>
          <w:u w:val="single"/>
        </w:rPr>
        <w:t>民生银行广州分行0301014140006932</w:t>
      </w:r>
      <w:r>
        <w:rPr>
          <w:rFonts w:hint="eastAsia" w:ascii="仿宋" w:hAnsi="仿宋" w:eastAsia="仿宋" w:cs="仿宋"/>
          <w:color w:val="auto"/>
          <w:sz w:val="24"/>
          <w:highlight w:val="none"/>
        </w:rPr>
        <w:t xml:space="preserve">。                            </w:t>
      </w:r>
    </w:p>
    <w:p>
      <w:pPr>
        <w:spacing w:line="500" w:lineRule="exact"/>
        <w:ind w:firstLine="480" w:firstLineChars="200"/>
        <w:outlineLvl w:val="0"/>
        <w:rPr>
          <w:rFonts w:hint="eastAsia" w:ascii="仿宋" w:hAnsi="仿宋" w:eastAsia="仿宋" w:cs="仿宋"/>
          <w:color w:val="auto"/>
          <w:sz w:val="24"/>
          <w:highlight w:val="none"/>
        </w:rPr>
      </w:pPr>
      <w:r>
        <w:rPr>
          <w:rFonts w:hint="eastAsia" w:ascii="仿宋" w:hAnsi="仿宋" w:eastAsia="仿宋" w:cs="仿宋"/>
          <w:color w:val="auto"/>
          <w:sz w:val="24"/>
          <w:highlight w:val="none"/>
        </w:rPr>
        <w:t>8.5履约担保：</w:t>
      </w:r>
      <w:r>
        <w:rPr>
          <w:rFonts w:hint="eastAsia" w:ascii="仿宋" w:hAnsi="仿宋" w:eastAsia="仿宋" w:cs="仿宋"/>
          <w:b/>
          <w:bCs/>
          <w:color w:val="auto"/>
          <w:sz w:val="24"/>
          <w:highlight w:val="none"/>
        </w:rPr>
        <w:sym w:font="Wingdings 2" w:char="0052"/>
      </w:r>
      <w:r>
        <w:rPr>
          <w:rFonts w:hint="eastAsia" w:ascii="仿宋" w:hAnsi="仿宋" w:eastAsia="仿宋" w:cs="仿宋"/>
          <w:bCs/>
          <w:color w:val="auto"/>
          <w:sz w:val="24"/>
          <w:highlight w:val="none"/>
        </w:rPr>
        <w:t xml:space="preserve">无；  </w:t>
      </w:r>
      <w:r>
        <w:rPr>
          <w:rFonts w:hint="eastAsia" w:ascii="仿宋" w:hAnsi="仿宋" w:eastAsia="仿宋" w:cs="仿宋"/>
          <w:b/>
          <w:bCs/>
          <w:color w:val="auto"/>
          <w:sz w:val="24"/>
          <w:highlight w:val="none"/>
        </w:rPr>
        <w:sym w:font="Wingdings 2" w:char="00A3"/>
      </w:r>
      <w:r>
        <w:rPr>
          <w:rFonts w:hint="eastAsia" w:ascii="仿宋" w:hAnsi="仿宋" w:eastAsia="仿宋" w:cs="仿宋"/>
          <w:color w:val="auto"/>
          <w:sz w:val="24"/>
          <w:highlight w:val="none"/>
        </w:rPr>
        <w:t>有 本合同签订后10日内</w:t>
      </w:r>
      <w:r>
        <w:rPr>
          <w:rFonts w:hint="eastAsia" w:ascii="仿宋" w:hAnsi="仿宋" w:eastAsia="仿宋" w:cs="仿宋"/>
          <w:color w:val="auto"/>
          <w:sz w:val="24"/>
          <w:highlight w:val="none"/>
          <w:u w:val="single"/>
        </w:rPr>
        <w:t>以合同暂定总价的10%作为履约保证金，</w:t>
      </w:r>
      <w:r>
        <w:rPr>
          <w:rFonts w:hint="eastAsia" w:ascii="仿宋" w:hAnsi="仿宋" w:eastAsia="仿宋" w:cs="仿宋"/>
          <w:color w:val="auto"/>
          <w:sz w:val="24"/>
          <w:highlight w:val="none"/>
        </w:rPr>
        <w:t>金额为：</w:t>
      </w:r>
      <w:r>
        <w:rPr>
          <w:rFonts w:hint="eastAsia" w:ascii="仿宋" w:hAnsi="仿宋" w:eastAsia="仿宋" w:cs="仿宋"/>
          <w:color w:val="auto"/>
          <w:sz w:val="24"/>
          <w:highlight w:val="none"/>
          <w:u w:val="single"/>
        </w:rPr>
        <w:t xml:space="preserve"> / </w:t>
      </w:r>
      <w:r>
        <w:rPr>
          <w:rFonts w:hint="eastAsia" w:ascii="仿宋" w:hAnsi="仿宋" w:eastAsia="仿宋" w:cs="仿宋"/>
          <w:color w:val="auto"/>
          <w:sz w:val="24"/>
          <w:highlight w:val="none"/>
        </w:rPr>
        <w:t>元（大写人民币：</w:t>
      </w:r>
      <w:r>
        <w:rPr>
          <w:rFonts w:hint="eastAsia" w:ascii="仿宋" w:hAnsi="仿宋" w:eastAsia="仿宋" w:cs="仿宋"/>
          <w:color w:val="auto"/>
          <w:sz w:val="24"/>
          <w:highlight w:val="none"/>
          <w:u w:val="single"/>
        </w:rPr>
        <w:t xml:space="preserve"> / </w:t>
      </w:r>
      <w:r>
        <w:rPr>
          <w:rFonts w:hint="eastAsia" w:ascii="仿宋" w:hAnsi="仿宋" w:eastAsia="仿宋" w:cs="仿宋"/>
          <w:color w:val="auto"/>
          <w:sz w:val="24"/>
          <w:highlight w:val="none"/>
        </w:rPr>
        <w:t>），未按时提供的，甲方有权解除合同并要求乙方支付</w:t>
      </w:r>
      <w:r>
        <w:rPr>
          <w:rFonts w:hint="eastAsia" w:ascii="仿宋" w:hAnsi="仿宋" w:eastAsia="仿宋" w:cs="仿宋"/>
          <w:color w:val="auto"/>
          <w:sz w:val="24"/>
          <w:highlight w:val="none"/>
          <w:u w:val="single"/>
        </w:rPr>
        <w:t>合同暂定总价20%</w:t>
      </w:r>
      <w:r>
        <w:rPr>
          <w:rFonts w:hint="eastAsia" w:ascii="仿宋" w:hAnsi="仿宋" w:eastAsia="仿宋" w:cs="仿宋"/>
          <w:color w:val="auto"/>
          <w:sz w:val="24"/>
          <w:highlight w:val="none"/>
        </w:rPr>
        <w:t>作为违约金。</w:t>
      </w:r>
    </w:p>
    <w:p>
      <w:pPr>
        <w:pStyle w:val="22"/>
        <w:spacing w:before="0" w:beforeAutospacing="0" w:after="0" w:afterAutospacing="0" w:line="500" w:lineRule="exact"/>
        <w:ind w:firstLine="480" w:firstLineChars="200"/>
        <w:rPr>
          <w:rFonts w:hint="eastAsia" w:ascii="仿宋" w:hAnsi="仿宋" w:eastAsia="仿宋" w:cs="仿宋"/>
          <w:color w:val="auto"/>
          <w:highlight w:val="none"/>
        </w:rPr>
      </w:pPr>
      <w:r>
        <w:rPr>
          <w:rFonts w:hint="eastAsia" w:ascii="仿宋" w:hAnsi="仿宋" w:eastAsia="仿宋" w:cs="仿宋"/>
          <w:color w:val="auto"/>
          <w:highlight w:val="none"/>
        </w:rPr>
        <w:t>8.5.1履约担保按以下任一种形式提供：</w:t>
      </w:r>
    </w:p>
    <w:p>
      <w:pPr>
        <w:pStyle w:val="22"/>
        <w:spacing w:before="0" w:beforeAutospacing="0" w:after="0" w:afterAutospacing="0" w:line="500" w:lineRule="exact"/>
        <w:ind w:firstLine="480"/>
        <w:rPr>
          <w:rFonts w:hint="eastAsia" w:ascii="仿宋" w:hAnsi="仿宋" w:eastAsia="仿宋" w:cs="仿宋"/>
          <w:color w:val="auto"/>
          <w:highlight w:val="none"/>
        </w:rPr>
      </w:pPr>
      <w:r>
        <w:rPr>
          <w:rFonts w:hint="eastAsia" w:ascii="仿宋" w:hAnsi="仿宋" w:eastAsia="仿宋" w:cs="仿宋"/>
          <w:color w:val="auto"/>
          <w:highlight w:val="none"/>
        </w:rPr>
        <w:t>（1）符合甲方要求的银行独立保函，</w:t>
      </w:r>
    </w:p>
    <w:p>
      <w:pPr>
        <w:pStyle w:val="22"/>
        <w:spacing w:before="0" w:beforeAutospacing="0" w:after="0" w:afterAutospacing="0" w:line="500" w:lineRule="exact"/>
        <w:ind w:firstLine="480"/>
        <w:rPr>
          <w:rFonts w:hint="eastAsia" w:ascii="仿宋" w:hAnsi="仿宋" w:eastAsia="仿宋" w:cs="仿宋"/>
          <w:color w:val="auto"/>
          <w:highlight w:val="none"/>
        </w:rPr>
      </w:pPr>
      <w:r>
        <w:rPr>
          <w:rFonts w:hint="eastAsia" w:ascii="仿宋" w:hAnsi="仿宋" w:eastAsia="仿宋" w:cs="仿宋"/>
          <w:color w:val="auto"/>
          <w:highlight w:val="none"/>
        </w:rPr>
        <w:t>（2）现金转账至甲方以下指定账户：</w:t>
      </w:r>
    </w:p>
    <w:p>
      <w:pPr>
        <w:tabs>
          <w:tab w:val="left" w:pos="1995"/>
        </w:tabs>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户名：广州市净水有限公司</w:t>
      </w:r>
    </w:p>
    <w:p>
      <w:pPr>
        <w:tabs>
          <w:tab w:val="left" w:pos="1995"/>
        </w:tabs>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账号：82010154900000342</w:t>
      </w:r>
    </w:p>
    <w:p>
      <w:pPr>
        <w:tabs>
          <w:tab w:val="left" w:pos="1995"/>
        </w:tabs>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开户行：浦发银行广州分行</w:t>
      </w:r>
    </w:p>
    <w:p>
      <w:pPr>
        <w:spacing w:line="500" w:lineRule="exact"/>
        <w:ind w:firstLine="480" w:firstLineChars="200"/>
        <w:outlineLvl w:val="0"/>
        <w:rPr>
          <w:rFonts w:hint="eastAsia" w:ascii="仿宋" w:hAnsi="仿宋" w:eastAsia="仿宋" w:cs="仿宋"/>
          <w:color w:val="auto"/>
          <w:sz w:val="24"/>
          <w:highlight w:val="none"/>
        </w:rPr>
      </w:pPr>
      <w:r>
        <w:rPr>
          <w:rFonts w:hint="eastAsia" w:ascii="仿宋" w:hAnsi="仿宋" w:eastAsia="仿宋" w:cs="仿宋"/>
          <w:color w:val="auto"/>
          <w:sz w:val="24"/>
          <w:highlight w:val="none"/>
        </w:rPr>
        <w:t>8.5.2履约担保的担保期限和返还</w:t>
      </w:r>
    </w:p>
    <w:p>
      <w:pPr>
        <w:spacing w:line="500" w:lineRule="exact"/>
        <w:ind w:firstLine="480" w:firstLineChars="200"/>
        <w:outlineLvl w:val="0"/>
        <w:rPr>
          <w:rFonts w:hint="eastAsia" w:ascii="仿宋" w:hAnsi="仿宋" w:eastAsia="仿宋" w:cs="仿宋"/>
          <w:color w:val="auto"/>
          <w:sz w:val="24"/>
          <w:highlight w:val="none"/>
        </w:rPr>
      </w:pPr>
      <w:r>
        <w:rPr>
          <w:rFonts w:hint="eastAsia" w:ascii="仿宋" w:hAnsi="仿宋" w:eastAsia="仿宋" w:cs="仿宋"/>
          <w:color w:val="auto"/>
          <w:sz w:val="24"/>
          <w:highlight w:val="none"/>
        </w:rPr>
        <w:t>（1）履约银行保函（或现金履约保证金）的担保期限：从提供履约担保（或转账成功）之日起至合同履行完成。</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（2）履约银行保函在合同履行完成后，由乙方提出申请，甲方在28日内返还，不支付利息。</w:t>
      </w:r>
    </w:p>
    <w:p>
      <w:pPr>
        <w:spacing w:line="500" w:lineRule="exact"/>
        <w:ind w:firstLine="480" w:firstLineChars="200"/>
        <w:outlineLvl w:val="0"/>
        <w:rPr>
          <w:rFonts w:hint="eastAsia" w:ascii="仿宋" w:hAnsi="仿宋" w:eastAsia="仿宋" w:cs="仿宋"/>
          <w:color w:val="auto"/>
          <w:sz w:val="24"/>
          <w:highlight w:val="none"/>
        </w:rPr>
      </w:pPr>
      <w:r>
        <w:rPr>
          <w:rFonts w:hint="eastAsia" w:ascii="仿宋" w:hAnsi="仿宋" w:eastAsia="仿宋" w:cs="仿宋"/>
          <w:color w:val="auto"/>
          <w:sz w:val="24"/>
          <w:highlight w:val="none"/>
        </w:rPr>
        <w:t>（3）延长担保期限。乙方以履约银行保函形式提交履约保证金的，在银行保函到期前，乙方应提前</w:t>
      </w:r>
      <w:r>
        <w:rPr>
          <w:rFonts w:hint="eastAsia" w:ascii="仿宋" w:hAnsi="仿宋" w:eastAsia="仿宋" w:cs="仿宋"/>
          <w:color w:val="auto"/>
          <w:sz w:val="24"/>
          <w:highlight w:val="none"/>
          <w:u w:val="single"/>
        </w:rPr>
        <w:t xml:space="preserve"> 7 </w:t>
      </w:r>
      <w:r>
        <w:rPr>
          <w:rFonts w:hint="eastAsia" w:ascii="仿宋" w:hAnsi="仿宋" w:eastAsia="仿宋" w:cs="仿宋"/>
          <w:color w:val="auto"/>
          <w:sz w:val="24"/>
          <w:highlight w:val="none"/>
        </w:rPr>
        <w:t>日向甲方提交新的保函以替换即将到期的保函。如乙方未及时提交的，甲方有权直接要求担保银行支付其担保的全部金额并解除合同。</w:t>
      </w:r>
    </w:p>
    <w:p>
      <w:pPr>
        <w:pStyle w:val="22"/>
        <w:spacing w:before="0" w:beforeAutospacing="0" w:after="0" w:afterAutospacing="0" w:line="500" w:lineRule="exact"/>
        <w:ind w:left="199" w:leftChars="95" w:firstLine="360" w:firstLineChars="150"/>
        <w:rPr>
          <w:rFonts w:hint="eastAsia" w:ascii="仿宋" w:hAnsi="仿宋" w:eastAsia="仿宋" w:cs="仿宋"/>
          <w:color w:val="auto"/>
          <w:highlight w:val="none"/>
          <w:u w:val="single"/>
        </w:rPr>
      </w:pPr>
      <w:r>
        <w:rPr>
          <w:rFonts w:hint="eastAsia" w:ascii="仿宋" w:hAnsi="仿宋" w:eastAsia="仿宋" w:cs="仿宋"/>
          <w:color w:val="auto"/>
          <w:highlight w:val="none"/>
        </w:rPr>
        <w:t>（4）现金履约保证金的退还：合同履行完成后，由乙方提出申请，甲方在</w:t>
      </w:r>
      <w:r>
        <w:rPr>
          <w:rFonts w:hint="eastAsia" w:ascii="仿宋" w:hAnsi="仿宋" w:eastAsia="仿宋" w:cs="仿宋"/>
          <w:color w:val="auto"/>
          <w:highlight w:val="none"/>
          <w:u w:val="single"/>
        </w:rPr>
        <w:t>28</w:t>
      </w:r>
      <w:r>
        <w:rPr>
          <w:rFonts w:hint="eastAsia" w:ascii="仿宋" w:hAnsi="仿宋" w:eastAsia="仿宋" w:cs="仿宋"/>
          <w:color w:val="auto"/>
          <w:highlight w:val="none"/>
        </w:rPr>
        <w:t>日内将剩余保证金（无息）返还。</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8.5.3甲方按本合同规定提取履约担保金额后，乙方应在收到甲方通知后</w:t>
      </w:r>
      <w:r>
        <w:rPr>
          <w:rFonts w:hint="eastAsia" w:ascii="仿宋" w:hAnsi="仿宋" w:eastAsia="仿宋" w:cs="仿宋"/>
          <w:color w:val="auto"/>
          <w:sz w:val="24"/>
          <w:highlight w:val="none"/>
          <w:u w:val="single"/>
        </w:rPr>
        <w:t xml:space="preserve"> 7</w:t>
      </w:r>
      <w:r>
        <w:rPr>
          <w:rFonts w:hint="eastAsia" w:ascii="仿宋" w:hAnsi="仿宋" w:eastAsia="仿宋" w:cs="仿宋"/>
          <w:color w:val="auto"/>
          <w:sz w:val="24"/>
          <w:highlight w:val="none"/>
        </w:rPr>
        <w:t>日内补足数额，逾期未补足的，则甲方有权提取履约担保的全部余额并解除合同。</w:t>
      </w:r>
    </w:p>
    <w:p>
      <w:pPr>
        <w:tabs>
          <w:tab w:val="left" w:pos="851"/>
        </w:tabs>
        <w:adjustRightInd w:val="0"/>
        <w:snapToGrid w:val="0"/>
        <w:spacing w:line="500" w:lineRule="exact"/>
        <w:ind w:firstLine="480" w:firstLineChars="200"/>
        <w:jc w:val="left"/>
        <w:outlineLvl w:val="1"/>
        <w:rPr>
          <w:rFonts w:hint="eastAsia" w:ascii="仿宋" w:hAnsi="仿宋" w:eastAsia="仿宋" w:cs="仿宋"/>
          <w:bCs/>
          <w:color w:val="auto"/>
          <w:sz w:val="24"/>
          <w:highlight w:val="none"/>
          <w:u w:val="single"/>
          <w:bdr w:val="single" w:color="auto" w:sz="4" w:space="0"/>
        </w:rPr>
      </w:pPr>
      <w:r>
        <w:rPr>
          <w:rFonts w:hint="eastAsia" w:ascii="仿宋" w:hAnsi="仿宋" w:eastAsia="仿宋" w:cs="仿宋"/>
          <w:color w:val="auto"/>
          <w:sz w:val="24"/>
          <w:highlight w:val="none"/>
        </w:rPr>
        <w:t xml:space="preserve">8.6付款方式： </w:t>
      </w:r>
      <w:r>
        <w:rPr>
          <w:rFonts w:hint="eastAsia" w:ascii="仿宋" w:hAnsi="仿宋" w:eastAsia="仿宋" w:cs="仿宋"/>
          <w:b/>
          <w:bCs/>
          <w:color w:val="auto"/>
          <w:sz w:val="24"/>
          <w:highlight w:val="none"/>
        </w:rPr>
        <w:t>☑</w:t>
      </w:r>
      <w:r>
        <w:rPr>
          <w:rFonts w:hint="eastAsia" w:ascii="仿宋" w:hAnsi="仿宋" w:eastAsia="仿宋" w:cs="仿宋"/>
          <w:color w:val="auto"/>
          <w:sz w:val="24"/>
          <w:highlight w:val="none"/>
        </w:rPr>
        <w:t xml:space="preserve">网银支付；  </w:t>
      </w:r>
      <w:r>
        <w:rPr>
          <w:rFonts w:hint="eastAsia" w:ascii="仿宋" w:hAnsi="仿宋" w:eastAsia="仿宋" w:cs="仿宋"/>
          <w:color w:val="auto"/>
          <w:sz w:val="24"/>
          <w:highlight w:val="none"/>
        </w:rPr>
        <w:sym w:font="Wingdings" w:char="00A8"/>
      </w:r>
      <w:r>
        <w:rPr>
          <w:rFonts w:hint="eastAsia" w:ascii="仿宋" w:hAnsi="仿宋" w:eastAsia="仿宋" w:cs="仿宋"/>
          <w:color w:val="auto"/>
          <w:sz w:val="24"/>
          <w:highlight w:val="none"/>
        </w:rPr>
        <w:t xml:space="preserve">支票；   </w:t>
      </w:r>
      <w:r>
        <w:rPr>
          <w:rFonts w:hint="eastAsia" w:ascii="仿宋" w:hAnsi="仿宋" w:eastAsia="仿宋" w:cs="仿宋"/>
          <w:color w:val="auto"/>
          <w:sz w:val="24"/>
          <w:highlight w:val="none"/>
        </w:rPr>
        <w:sym w:font="Wingdings" w:char="00A8"/>
      </w:r>
      <w:r>
        <w:rPr>
          <w:rFonts w:hint="eastAsia" w:ascii="仿宋" w:hAnsi="仿宋" w:eastAsia="仿宋" w:cs="仿宋"/>
          <w:color w:val="auto"/>
          <w:sz w:val="24"/>
          <w:highlight w:val="none"/>
        </w:rPr>
        <w:t>其他：</w:t>
      </w:r>
      <w:r>
        <w:rPr>
          <w:rFonts w:hint="eastAsia" w:ascii="仿宋" w:hAnsi="仿宋" w:eastAsia="仿宋" w:cs="仿宋"/>
          <w:color w:val="auto"/>
          <w:sz w:val="24"/>
          <w:highlight w:val="none"/>
          <w:u w:val="single"/>
        </w:rPr>
        <w:t xml:space="preserve"> /</w:t>
      </w:r>
      <w:r>
        <w:rPr>
          <w:rFonts w:hint="eastAsia" w:ascii="仿宋" w:hAnsi="仿宋" w:eastAsia="仿宋" w:cs="仿宋"/>
          <w:bCs/>
          <w:color w:val="auto"/>
          <w:sz w:val="24"/>
          <w:highlight w:val="none"/>
          <w:u w:val="single"/>
          <w:bdr w:val="single" w:color="auto" w:sz="4" w:space="0"/>
        </w:rPr>
        <w:t xml:space="preserve"> </w:t>
      </w:r>
    </w:p>
    <w:p>
      <w:pPr>
        <w:pStyle w:val="13"/>
        <w:spacing w:line="500" w:lineRule="exact"/>
        <w:ind w:firstLine="482" w:firstLineChars="200"/>
        <w:outlineLvl w:val="1"/>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第九条 竣工验收</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9.1乙方应在工程完工后30天内将经甲方审核的完整竣工资料（含竣工图）和竣工验收报告各</w:t>
      </w:r>
      <w:r>
        <w:rPr>
          <w:rFonts w:hint="eastAsia" w:ascii="仿宋" w:hAnsi="仿宋" w:eastAsia="仿宋" w:cs="仿宋"/>
          <w:color w:val="auto"/>
          <w:sz w:val="24"/>
          <w:highlight w:val="none"/>
          <w:u w:val="single"/>
        </w:rPr>
        <w:t>一式肆份</w:t>
      </w:r>
      <w:r>
        <w:rPr>
          <w:rFonts w:hint="eastAsia" w:ascii="仿宋" w:hAnsi="仿宋" w:eastAsia="仿宋" w:cs="仿宋"/>
          <w:color w:val="auto"/>
          <w:sz w:val="24"/>
          <w:highlight w:val="none"/>
        </w:rPr>
        <w:t>交甲方，不按时报送工程竣工资料的，每逾期一天，甲方要求乙方支付</w:t>
      </w:r>
      <w:r>
        <w:rPr>
          <w:rFonts w:hint="eastAsia" w:ascii="仿宋" w:hAnsi="仿宋" w:eastAsia="仿宋" w:cs="仿宋"/>
          <w:color w:val="auto"/>
          <w:sz w:val="24"/>
          <w:highlight w:val="none"/>
          <w:u w:val="single"/>
        </w:rPr>
        <w:t>合同暂定总价</w:t>
      </w:r>
      <w:r>
        <w:rPr>
          <w:rFonts w:hint="eastAsia" w:ascii="仿宋" w:hAnsi="仿宋" w:eastAsia="仿宋" w:cs="仿宋"/>
          <w:bCs/>
          <w:color w:val="auto"/>
          <w:sz w:val="24"/>
          <w:highlight w:val="none"/>
          <w:u w:val="single"/>
        </w:rPr>
        <w:t>万分之五/天</w:t>
      </w:r>
      <w:r>
        <w:rPr>
          <w:rFonts w:hint="eastAsia" w:ascii="仿宋" w:hAnsi="仿宋" w:eastAsia="仿宋" w:cs="仿宋"/>
          <w:color w:val="auto"/>
          <w:sz w:val="24"/>
          <w:highlight w:val="none"/>
        </w:rPr>
        <w:t>，并在支付合同款时抵扣。</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9.2甲方收到完整的竣工验收资料（完整的竣工验收资料：施工方案、开工/竣工报告、安全备案整套资料、本合同书、询价文件/响应文件、中标通知书/发包通知书/委托书、工程预算送审报告、工程结算书/签证记录、备件开箱记录表或送货单、竣工图等，如有必须提供）和竣工验收报告后20天内组织有关单位进行验收，工程竣工验收严格按国家、省、市、部门有关文件执行，并在验收后10天内给予认可或提出修改意见。乙方按要求修改，并承担修改的费用。</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9.3工程竣工验收通过，乙方送交完整的竣工验收资料和竣工验收报告的日期为实际竣工日期。工程按甲方要求修改后通过竣工验收的，实际竣工日期为乙方修改后提请甲方验收的日期。</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9.4竣工档案的整理和移交</w:t>
      </w:r>
    </w:p>
    <w:p>
      <w:pPr>
        <w:spacing w:line="500" w:lineRule="exact"/>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rPr>
        <w:t>（1）乙方应参照国家《城市建设档案管理规定》、《广州市城市建设档案管理办法》和甲方有关整理工程档案的要求，在工程施工期间及时收集、汇总、整理、编制竣工档案，并于工程竣工验收后按下款约定向甲方完整移交如下竣工档案：</w:t>
      </w:r>
    </w:p>
    <w:p>
      <w:pPr>
        <w:spacing w:line="500" w:lineRule="exact"/>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rPr>
        <w:t>（a）竣工文件资料、竣工图档案（原件）各一式四份；</w:t>
      </w:r>
    </w:p>
    <w:p>
      <w:pPr>
        <w:spacing w:line="500" w:lineRule="exact"/>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rPr>
        <w:t>（b）与本款（a）项内容相同的电子版档案一式二份；</w:t>
      </w:r>
    </w:p>
    <w:p>
      <w:pPr>
        <w:spacing w:line="500" w:lineRule="exact"/>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rPr>
        <w:t>（2）乙方移交竣工档案的时限：乙方应于工程竣工验收后30天内将竣工档案提交甲方签认。乙方应于甲方签认后10天内将竣工档案移交给甲方归档并同时移交有关归档的证明文件。甲方经审查合格的，应在收到竣工档案后10天内签署档案验收意见；不合格的，乙方应按甲方要求限期补正，直至合格为止。乙方超过本条规定的时限，每逾期一天支付</w:t>
      </w:r>
      <w:r>
        <w:rPr>
          <w:rFonts w:hint="eastAsia" w:ascii="仿宋" w:hAnsi="仿宋" w:eastAsia="仿宋" w:cs="仿宋"/>
          <w:color w:val="auto"/>
          <w:sz w:val="24"/>
          <w:highlight w:val="none"/>
          <w:u w:val="single"/>
        </w:rPr>
        <w:t>合同暂定总价</w:t>
      </w:r>
      <w:r>
        <w:rPr>
          <w:rFonts w:hint="eastAsia" w:ascii="仿宋" w:hAnsi="仿宋" w:eastAsia="仿宋" w:cs="仿宋"/>
          <w:bCs/>
          <w:color w:val="auto"/>
          <w:sz w:val="24"/>
          <w:highlight w:val="none"/>
          <w:u w:val="single"/>
        </w:rPr>
        <w:t>万分之五/天</w:t>
      </w:r>
      <w:r>
        <w:rPr>
          <w:rFonts w:hint="eastAsia" w:ascii="仿宋" w:hAnsi="仿宋" w:eastAsia="仿宋" w:cs="仿宋"/>
          <w:color w:val="auto"/>
          <w:sz w:val="24"/>
          <w:highlight w:val="none"/>
        </w:rPr>
        <w:t>违约金。</w:t>
      </w:r>
    </w:p>
    <w:p>
      <w:pPr>
        <w:spacing w:line="500" w:lineRule="exact"/>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rPr>
        <w:t>（3）电子版竣工图的编制，以甲方提供的电子版施工图为基础。乙方在移交竣工档案时，应一并移交甲方提供的电子版施工图。</w:t>
      </w:r>
    </w:p>
    <w:p>
      <w:pPr>
        <w:spacing w:line="500" w:lineRule="exact"/>
        <w:ind w:firstLine="480"/>
        <w:rPr>
          <w:rFonts w:hint="eastAsia" w:ascii="仿宋" w:hAnsi="仿宋" w:eastAsia="仿宋" w:cs="仿宋"/>
          <w:color w:val="auto"/>
          <w:sz w:val="24"/>
          <w:highlight w:val="none"/>
        </w:rPr>
      </w:pPr>
      <w:r>
        <w:rPr>
          <w:rFonts w:hint="eastAsia" w:ascii="仿宋" w:hAnsi="仿宋" w:eastAsia="仿宋" w:cs="仿宋"/>
          <w:color w:val="auto"/>
          <w:sz w:val="24"/>
          <w:highlight w:val="none"/>
        </w:rPr>
        <w:t>电子版施工图和电子版竣工图的知识产权归属甲方所有，非经甲方许可，乙方不得以任何方式复制、备份、转让和利用。否则，由此引起的任何纠纷和责任由乙方承担。</w:t>
      </w:r>
    </w:p>
    <w:p>
      <w:pPr>
        <w:spacing w:line="500" w:lineRule="exact"/>
        <w:ind w:firstLine="480" w:firstLineChars="200"/>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lang w:val="en-US" w:eastAsia="zh-CN"/>
        </w:rPr>
        <w:t>9.5</w:t>
      </w:r>
      <w:r>
        <w:rPr>
          <w:rFonts w:hint="eastAsia" w:ascii="仿宋" w:hAnsi="仿宋" w:eastAsia="仿宋" w:cs="仿宋"/>
          <w:color w:val="auto"/>
          <w:sz w:val="24"/>
          <w:highlight w:val="none"/>
        </w:rPr>
        <w:t>本合同竣工验收结算单位为：</w:t>
      </w:r>
      <w:r>
        <w:rPr>
          <w:rFonts w:hint="eastAsia" w:ascii="仿宋" w:hAnsi="仿宋" w:eastAsia="仿宋" w:cs="仿宋"/>
          <w:color w:val="auto"/>
          <w:sz w:val="24"/>
          <w:highlight w:val="none"/>
          <w:lang w:val="en-US" w:eastAsia="zh-CN"/>
        </w:rPr>
        <w:t>广州市净水有限公司大坦沙分公司</w:t>
      </w:r>
    </w:p>
    <w:p>
      <w:pPr>
        <w:numPr>
          <w:ilvl w:val="0"/>
          <w:numId w:val="17"/>
        </w:numPr>
        <w:spacing w:before="120" w:after="156" w:afterLines="50" w:line="500" w:lineRule="exact"/>
        <w:ind w:firstLine="482" w:firstLineChars="200"/>
        <w:jc w:val="left"/>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质量保证</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10.1乙方保证所承包的项目质量符合国家相关标准和规范。对产品质量依据原厂商标准及国家标准从严执行。</w:t>
      </w:r>
    </w:p>
    <w:p>
      <w:pPr>
        <w:autoSpaceDE w:val="0"/>
        <w:autoSpaceDN w:val="0"/>
        <w:adjustRightInd w:val="0"/>
        <w:spacing w:line="500" w:lineRule="exact"/>
        <w:ind w:left="420"/>
        <w:rPr>
          <w:rFonts w:hint="eastAsia" w:ascii="仿宋" w:hAnsi="仿宋" w:eastAsia="仿宋" w:cs="仿宋"/>
          <w:color w:val="auto"/>
          <w:kern w:val="0"/>
          <w:sz w:val="24"/>
          <w:highlight w:val="none"/>
          <w:lang w:val="zh-CN"/>
        </w:rPr>
      </w:pPr>
      <w:r>
        <w:rPr>
          <w:rFonts w:hint="eastAsia" w:ascii="仿宋" w:hAnsi="仿宋" w:eastAsia="仿宋" w:cs="仿宋"/>
          <w:bCs/>
          <w:color w:val="auto"/>
          <w:sz w:val="24"/>
          <w:highlight w:val="none"/>
        </w:rPr>
        <w:t>10.2 本项目质量保修期为</w:t>
      </w:r>
      <w:r>
        <w:rPr>
          <w:rFonts w:hint="eastAsia" w:ascii="仿宋" w:hAnsi="仿宋" w:eastAsia="仿宋" w:cs="仿宋"/>
          <w:color w:val="auto"/>
          <w:kern w:val="0"/>
          <w:sz w:val="24"/>
          <w:highlight w:val="none"/>
          <w:lang w:val="zh-CN"/>
        </w:rPr>
        <w:t>自验收合格之日起</w:t>
      </w:r>
      <w:r>
        <w:rPr>
          <w:rFonts w:hint="eastAsia" w:ascii="仿宋" w:hAnsi="仿宋" w:eastAsia="仿宋" w:cs="仿宋"/>
          <w:color w:val="auto"/>
          <w:kern w:val="0"/>
          <w:sz w:val="24"/>
          <w:highlight w:val="none"/>
          <w:u w:val="single"/>
        </w:rPr>
        <w:t xml:space="preserve"> </w:t>
      </w:r>
      <w:r>
        <w:rPr>
          <w:rFonts w:hint="eastAsia" w:ascii="仿宋" w:hAnsi="仿宋" w:eastAsia="仿宋" w:cs="仿宋"/>
          <w:b/>
          <w:bCs/>
          <w:color w:val="auto"/>
          <w:kern w:val="0"/>
          <w:sz w:val="24"/>
          <w:highlight w:val="none"/>
          <w:u w:val="single"/>
          <w:lang w:val="en-US" w:eastAsia="zh-CN"/>
        </w:rPr>
        <w:t>壹</w:t>
      </w:r>
      <w:r>
        <w:rPr>
          <w:rFonts w:hint="eastAsia" w:ascii="仿宋" w:hAnsi="仿宋" w:eastAsia="仿宋" w:cs="仿宋"/>
          <w:color w:val="auto"/>
          <w:kern w:val="0"/>
          <w:sz w:val="24"/>
          <w:highlight w:val="none"/>
          <w:u w:val="single"/>
        </w:rPr>
        <w:t xml:space="preserve"> </w:t>
      </w:r>
      <w:r>
        <w:rPr>
          <w:rFonts w:hint="eastAsia" w:ascii="仿宋" w:hAnsi="仿宋" w:eastAsia="仿宋" w:cs="仿宋"/>
          <w:color w:val="auto"/>
          <w:kern w:val="0"/>
          <w:sz w:val="24"/>
          <w:highlight w:val="none"/>
          <w:lang w:val="zh-CN"/>
        </w:rPr>
        <w:t>年，</w:t>
      </w:r>
      <w:r>
        <w:rPr>
          <w:rFonts w:hint="eastAsia" w:ascii="仿宋" w:hAnsi="仿宋" w:eastAsia="仿宋" w:cs="仿宋"/>
          <w:color w:val="auto"/>
          <w:kern w:val="0"/>
          <w:sz w:val="24"/>
          <w:highlight w:val="none"/>
          <w:lang w:val="en-US" w:eastAsia="zh-CN"/>
        </w:rPr>
        <w:t>且不得低于法定保修期限</w:t>
      </w:r>
      <w:r>
        <w:rPr>
          <w:rFonts w:hint="eastAsia" w:ascii="仿宋" w:hAnsi="仿宋" w:eastAsia="仿宋" w:cs="仿宋"/>
          <w:color w:val="auto"/>
          <w:kern w:val="0"/>
          <w:sz w:val="24"/>
          <w:highlight w:val="none"/>
          <w:lang w:val="zh-CN"/>
        </w:rPr>
        <w:t>。</w:t>
      </w:r>
    </w:p>
    <w:p>
      <w:pPr>
        <w:spacing w:line="500" w:lineRule="exact"/>
        <w:ind w:firstLine="420" w:firstLineChars="175"/>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10.3质量保修期期间，本项目的质量问题由乙方免费提供保修服务，乙方应在收到甲方通知后</w:t>
      </w:r>
      <w:r>
        <w:rPr>
          <w:rFonts w:hint="eastAsia" w:ascii="仿宋" w:hAnsi="仿宋" w:eastAsia="仿宋" w:cs="仿宋"/>
          <w:bCs/>
          <w:color w:val="auto"/>
          <w:sz w:val="24"/>
          <w:highlight w:val="none"/>
          <w:lang w:val="en-US" w:eastAsia="zh-CN"/>
        </w:rPr>
        <w:t>7</w:t>
      </w:r>
      <w:r>
        <w:rPr>
          <w:rFonts w:hint="eastAsia" w:ascii="仿宋" w:hAnsi="仿宋" w:eastAsia="仿宋" w:cs="仿宋"/>
          <w:bCs/>
          <w:color w:val="auto"/>
          <w:sz w:val="24"/>
          <w:highlight w:val="none"/>
        </w:rPr>
        <w:t>日内派人员到场负责解决及维修，如果乙方不按时到场维修或到场后不能修复的，甲方有权委托他人予以维修，乙方承担由此发生的费用并支付</w:t>
      </w:r>
      <w:r>
        <w:rPr>
          <w:rFonts w:hint="eastAsia" w:ascii="仿宋" w:hAnsi="仿宋" w:eastAsia="仿宋" w:cs="仿宋"/>
          <w:bCs/>
          <w:color w:val="auto"/>
          <w:sz w:val="24"/>
          <w:highlight w:val="none"/>
          <w:u w:val="single"/>
        </w:rPr>
        <w:t>合同暂定总价的10%/次</w:t>
      </w:r>
      <w:r>
        <w:rPr>
          <w:rFonts w:hint="eastAsia" w:ascii="仿宋" w:hAnsi="仿宋" w:eastAsia="仿宋" w:cs="仿宋"/>
          <w:bCs/>
          <w:color w:val="auto"/>
          <w:sz w:val="24"/>
          <w:highlight w:val="none"/>
        </w:rPr>
        <w:t>作为违约金。</w:t>
      </w:r>
    </w:p>
    <w:p>
      <w:pPr>
        <w:spacing w:before="156" w:beforeLines="50" w:after="156" w:afterLines="50" w:line="500" w:lineRule="exact"/>
        <w:ind w:firstLine="422" w:firstLineChars="175"/>
        <w:jc w:val="left"/>
        <w:rPr>
          <w:rFonts w:hint="eastAsia" w:ascii="仿宋" w:hAnsi="仿宋" w:eastAsia="仿宋" w:cs="仿宋"/>
          <w:color w:val="auto"/>
          <w:sz w:val="24"/>
          <w:highlight w:val="none"/>
        </w:rPr>
      </w:pPr>
      <w:r>
        <w:rPr>
          <w:rFonts w:hint="eastAsia" w:ascii="仿宋" w:hAnsi="仿宋" w:eastAsia="仿宋" w:cs="仿宋"/>
          <w:b/>
          <w:bCs/>
          <w:color w:val="auto"/>
          <w:sz w:val="24"/>
          <w:highlight w:val="none"/>
        </w:rPr>
        <w:t>第十一条 不可抗力</w:t>
      </w:r>
    </w:p>
    <w:p>
      <w:pPr>
        <w:widowControl/>
        <w:autoSpaceDE w:val="0"/>
        <w:autoSpaceDN w:val="0"/>
        <w:adjustRightInd w:val="0"/>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11.1 任何一方因不可抗力无法全部或部分履行其在本合同项下的义务时，该方有权全部或部分中止履行本合同项下的义务，并不承担违约责任。不可抗力是指合同当事人在签订本合同时不可预见，在合同履行过程中不可避免且不能克服的客观情况，包括：</w:t>
      </w:r>
    </w:p>
    <w:p>
      <w:pPr>
        <w:widowControl/>
        <w:autoSpaceDE w:val="0"/>
        <w:autoSpaceDN w:val="0"/>
        <w:adjustRightInd w:val="0"/>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color w:val="auto"/>
          <w:sz w:val="24"/>
          <w:highlight w:val="none"/>
        </w:rPr>
        <w:t>（1）</w:t>
      </w:r>
      <w:r>
        <w:rPr>
          <w:rFonts w:hint="eastAsia" w:ascii="仿宋" w:hAnsi="仿宋" w:eastAsia="仿宋" w:cs="仿宋"/>
          <w:bCs/>
          <w:color w:val="auto"/>
          <w:sz w:val="24"/>
          <w:highlight w:val="none"/>
        </w:rPr>
        <w:t>地震、火山爆发、滑坡、暴雨（橙色预警及以上）、台风（黄色预警及以上）、海啸、龙卷风、大面积流行病(如：非典型性肺炎等)或瘟疫；</w:t>
      </w:r>
    </w:p>
    <w:p>
      <w:pPr>
        <w:widowControl/>
        <w:autoSpaceDE w:val="0"/>
        <w:autoSpaceDN w:val="0"/>
        <w:adjustRightInd w:val="0"/>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color w:val="auto"/>
          <w:sz w:val="24"/>
          <w:highlight w:val="none"/>
        </w:rPr>
        <w:t>（2）</w:t>
      </w:r>
      <w:r>
        <w:rPr>
          <w:rFonts w:hint="eastAsia" w:ascii="仿宋" w:hAnsi="仿宋" w:eastAsia="仿宋" w:cs="仿宋"/>
          <w:bCs/>
          <w:color w:val="auto"/>
          <w:sz w:val="24"/>
          <w:highlight w:val="none"/>
        </w:rPr>
        <w:t>战争行为、入侵、武装冲突或外敌行为、封锁、暴乱、恐怖行为或军事演习；</w:t>
      </w:r>
    </w:p>
    <w:p>
      <w:pPr>
        <w:widowControl/>
        <w:autoSpaceDE w:val="0"/>
        <w:autoSpaceDN w:val="0"/>
        <w:adjustRightInd w:val="0"/>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11.2 声称受到不可抗力影响的一方，应在发生不可抗力或知道发生不可抗力之后5日内书面通知另一方，详细描述不可抗力的发生情况和对该方履行在本合同项下义务的影响，同时附上此种不可抗力事件及其持续时间的有效证明文件。</w:t>
      </w:r>
    </w:p>
    <w:p>
      <w:pPr>
        <w:widowControl/>
        <w:autoSpaceDE w:val="0"/>
        <w:autoSpaceDN w:val="0"/>
        <w:adjustRightInd w:val="0"/>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11.3 因不可抗力导致合同无法履行的时间自该不可抗力发生日起连续超过玖拾(90)天，双方应协商决定继续履行本合同的条件或者变更本合同。如果自不可抗力发生后壹佰捌拾(180)天之内双方不能达成一致意见，任何一方有权解除本合同。</w:t>
      </w:r>
    </w:p>
    <w:p>
      <w:pPr>
        <w:spacing w:before="156" w:beforeLines="50" w:after="156" w:afterLines="50" w:line="500" w:lineRule="exact"/>
        <w:ind w:firstLine="482"/>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11.4 双方同意采取一切合理的预防措施和及时的补救措施，尽可能减轻不可抗力事件带来的后果。受到不可抗力影响的一方应尽合理的努力减少不可抗力的影响，包括为采取有效的措施支付合理的金额。双方应协商制定并实施补救计划及合理的替代措施以消除不可抗力，并决定为减少不可抗力给每一方带来的损失应采取的合理的手段。但因受到不可抗力影响的一方采取措施不当，未尽合理的努力减少不可抗力的影响，造成损失扩大的，由有责任的一方承担扩大部分的损失。声称不可抗力的一方在不可抗力消除之后应尽快恢复履行本合同项下的义务。</w:t>
      </w:r>
    </w:p>
    <w:p>
      <w:pPr>
        <w:spacing w:before="156" w:beforeLines="50" w:after="156" w:afterLines="50" w:line="500" w:lineRule="exact"/>
        <w:ind w:firstLine="482"/>
        <w:jc w:val="left"/>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lang w:val="en-US" w:eastAsia="zh-CN"/>
        </w:rPr>
        <w:t>第</w:t>
      </w:r>
      <w:r>
        <w:rPr>
          <w:rFonts w:hint="eastAsia" w:ascii="仿宋" w:hAnsi="仿宋" w:eastAsia="仿宋" w:cs="仿宋"/>
          <w:b/>
          <w:bCs/>
          <w:color w:val="auto"/>
          <w:sz w:val="24"/>
          <w:highlight w:val="none"/>
        </w:rPr>
        <w:t>十二条 争议解决</w:t>
      </w:r>
    </w:p>
    <w:p>
      <w:pPr>
        <w:spacing w:before="156" w:beforeLines="50" w:after="156" w:afterLines="50" w:line="500" w:lineRule="exact"/>
        <w:ind w:firstLine="482"/>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12.1 甲乙双方应通过友好协商，解决在执行本合同所发生的或与本合同有关的一切争议。如协商不能解决争议，任何一方均可依法向甲方所在地人民法院提起诉讼。</w:t>
      </w:r>
    </w:p>
    <w:p>
      <w:pPr>
        <w:spacing w:line="500" w:lineRule="exact"/>
        <w:ind w:firstLine="482"/>
        <w:jc w:val="left"/>
        <w:rPr>
          <w:rFonts w:hint="eastAsia" w:ascii="仿宋" w:hAnsi="仿宋" w:eastAsia="仿宋" w:cs="仿宋"/>
          <w:b/>
          <w:bCs/>
          <w:color w:val="auto"/>
          <w:sz w:val="24"/>
          <w:highlight w:val="none"/>
        </w:rPr>
      </w:pPr>
      <w:r>
        <w:rPr>
          <w:rFonts w:hint="eastAsia" w:ascii="仿宋" w:hAnsi="仿宋" w:eastAsia="仿宋" w:cs="仿宋"/>
          <w:bCs/>
          <w:color w:val="auto"/>
          <w:sz w:val="24"/>
          <w:highlight w:val="none"/>
        </w:rPr>
        <w:t xml:space="preserve">12.2 </w:t>
      </w:r>
      <w:r>
        <w:rPr>
          <w:rFonts w:hint="eastAsia" w:ascii="仿宋" w:hAnsi="仿宋" w:eastAsia="仿宋" w:cs="仿宋"/>
          <w:color w:val="auto"/>
          <w:sz w:val="24"/>
          <w:highlight w:val="none"/>
        </w:rPr>
        <w:t>在甲方同意的情况下，除有争端之外的合同其它部分在争端解决前应继续执行。</w:t>
      </w:r>
    </w:p>
    <w:p>
      <w:pPr>
        <w:spacing w:line="500" w:lineRule="exact"/>
        <w:ind w:firstLine="482"/>
        <w:jc w:val="left"/>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第十三条 合同生效及其他</w:t>
      </w:r>
    </w:p>
    <w:p>
      <w:pPr>
        <w:spacing w:line="500" w:lineRule="exact"/>
        <w:ind w:firstLine="480"/>
        <w:rPr>
          <w:rFonts w:hint="eastAsia" w:ascii="仿宋" w:hAnsi="仿宋" w:eastAsia="仿宋" w:cs="仿宋"/>
          <w:color w:val="auto"/>
          <w:sz w:val="24"/>
          <w:highlight w:val="none"/>
        </w:rPr>
      </w:pPr>
      <w:r>
        <w:rPr>
          <w:rFonts w:hint="eastAsia" w:ascii="仿宋" w:hAnsi="仿宋" w:eastAsia="仿宋" w:cs="仿宋"/>
          <w:color w:val="auto"/>
          <w:sz w:val="24"/>
          <w:highlight w:val="none"/>
        </w:rPr>
        <w:t>13.1本合同经双方法定代表人或授权代表签字并加盖双方公章后生效.</w:t>
      </w:r>
    </w:p>
    <w:p>
      <w:pPr>
        <w:spacing w:line="500" w:lineRule="exact"/>
        <w:ind w:firstLine="480"/>
        <w:rPr>
          <w:rFonts w:hint="eastAsia" w:ascii="仿宋" w:hAnsi="仿宋" w:eastAsia="仿宋" w:cs="仿宋"/>
          <w:color w:val="auto"/>
          <w:sz w:val="24"/>
          <w:highlight w:val="none"/>
        </w:rPr>
      </w:pPr>
      <w:r>
        <w:rPr>
          <w:rFonts w:hint="eastAsia" w:ascii="仿宋" w:hAnsi="仿宋" w:eastAsia="仿宋" w:cs="仿宋"/>
          <w:color w:val="auto"/>
          <w:sz w:val="24"/>
          <w:highlight w:val="none"/>
        </w:rPr>
        <w:t>13.2本合同正文一式</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陆</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份，其中：甲方</w:t>
      </w:r>
      <w:r>
        <w:rPr>
          <w:rFonts w:hint="eastAsia" w:ascii="仿宋" w:hAnsi="仿宋" w:eastAsia="仿宋" w:cs="仿宋"/>
          <w:color w:val="auto"/>
          <w:sz w:val="24"/>
          <w:highlight w:val="none"/>
          <w:u w:val="single"/>
          <w:lang w:val="en-US" w:eastAsia="zh-CN"/>
        </w:rPr>
        <w:t>肆</w:t>
      </w:r>
      <w:r>
        <w:rPr>
          <w:rFonts w:hint="eastAsia" w:ascii="仿宋" w:hAnsi="仿宋" w:eastAsia="仿宋" w:cs="仿宋"/>
          <w:color w:val="auto"/>
          <w:sz w:val="24"/>
          <w:highlight w:val="none"/>
        </w:rPr>
        <w:t>份，乙方</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贰</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份。</w:t>
      </w:r>
    </w:p>
    <w:p>
      <w:pPr>
        <w:spacing w:line="500" w:lineRule="exact"/>
        <w:ind w:firstLine="48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13.3补充条款：</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无</w:t>
      </w:r>
      <w:r>
        <w:rPr>
          <w:rFonts w:hint="eastAsia" w:ascii="仿宋" w:hAnsi="仿宋" w:eastAsia="仿宋" w:cs="仿宋"/>
          <w:color w:val="auto"/>
          <w:sz w:val="24"/>
          <w:highlight w:val="none"/>
          <w:u w:val="single"/>
        </w:rPr>
        <w:t xml:space="preserve">   </w:t>
      </w:r>
    </w:p>
    <w:p>
      <w:pPr>
        <w:spacing w:line="50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附件：1.成交通知书</w:t>
      </w:r>
    </w:p>
    <w:p>
      <w:pPr>
        <w:spacing w:line="500" w:lineRule="exact"/>
        <w:ind w:firstLine="720" w:firstLineChars="300"/>
        <w:rPr>
          <w:rFonts w:hint="eastAsia" w:ascii="仿宋" w:hAnsi="仿宋" w:eastAsia="仿宋" w:cs="仿宋"/>
          <w:color w:val="auto"/>
          <w:sz w:val="24"/>
          <w:highlight w:val="none"/>
        </w:rPr>
      </w:pPr>
      <w:r>
        <w:rPr>
          <w:rFonts w:hint="eastAsia" w:ascii="仿宋" w:hAnsi="仿宋" w:eastAsia="仿宋" w:cs="仿宋"/>
          <w:color w:val="auto"/>
          <w:sz w:val="24"/>
          <w:highlight w:val="none"/>
        </w:rPr>
        <w:t>2.廉洁协议</w:t>
      </w:r>
    </w:p>
    <w:p>
      <w:pPr>
        <w:spacing w:line="500" w:lineRule="exact"/>
        <w:ind w:firstLine="720" w:firstLineChars="300"/>
        <w:rPr>
          <w:rFonts w:hint="eastAsia" w:ascii="仿宋" w:hAnsi="仿宋" w:eastAsia="仿宋" w:cs="仿宋"/>
          <w:color w:val="auto"/>
          <w:sz w:val="24"/>
          <w:highlight w:val="none"/>
        </w:rPr>
      </w:pPr>
      <w:r>
        <w:rPr>
          <w:rFonts w:hint="eastAsia" w:ascii="仿宋" w:hAnsi="仿宋" w:eastAsia="仿宋" w:cs="仿宋"/>
          <w:color w:val="auto"/>
          <w:sz w:val="24"/>
          <w:highlight w:val="none"/>
        </w:rPr>
        <w:t>3.营运场所施工安全协议书</w:t>
      </w:r>
    </w:p>
    <w:p>
      <w:pPr>
        <w:spacing w:line="500" w:lineRule="exact"/>
        <w:ind w:firstLine="720" w:firstLineChars="300"/>
        <w:rPr>
          <w:rFonts w:hint="eastAsia" w:ascii="仿宋" w:hAnsi="仿宋" w:eastAsia="仿宋" w:cs="仿宋"/>
          <w:color w:val="auto"/>
          <w:sz w:val="24"/>
          <w:highlight w:val="none"/>
        </w:rPr>
      </w:pPr>
      <w:r>
        <w:rPr>
          <w:rFonts w:hint="eastAsia" w:ascii="仿宋" w:hAnsi="仿宋" w:eastAsia="仿宋" w:cs="仿宋"/>
          <w:color w:val="auto"/>
          <w:sz w:val="24"/>
          <w:highlight w:val="none"/>
        </w:rPr>
        <w:t>4.工程量清单报价</w:t>
      </w:r>
    </w:p>
    <w:p>
      <w:pPr>
        <w:spacing w:line="500" w:lineRule="exact"/>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rPr>
        <w:t xml:space="preserve">      </w:t>
      </w:r>
      <w:r>
        <w:rPr>
          <w:rFonts w:hint="eastAsia" w:ascii="仿宋" w:hAnsi="仿宋" w:eastAsia="仿宋" w:cs="仿宋"/>
          <w:color w:val="auto"/>
          <w:sz w:val="24"/>
          <w:highlight w:val="none"/>
          <w:lang w:val="en-US" w:eastAsia="zh-CN"/>
        </w:rPr>
        <w:t>5</w:t>
      </w:r>
      <w:r>
        <w:rPr>
          <w:rFonts w:hint="eastAsia" w:ascii="仿宋" w:hAnsi="仿宋" w:eastAsia="仿宋" w:cs="仿宋"/>
          <w:color w:val="auto"/>
          <w:sz w:val="24"/>
          <w:highlight w:val="none"/>
        </w:rPr>
        <w:t>.项目投入人员架构表</w:t>
      </w:r>
      <w:r>
        <w:rPr>
          <w:rFonts w:hint="eastAsia" w:ascii="仿宋" w:hAnsi="仿宋" w:eastAsia="仿宋" w:cs="仿宋"/>
          <w:color w:val="auto"/>
          <w:sz w:val="24"/>
          <w:highlight w:val="none"/>
          <w:lang w:val="en-US" w:eastAsia="zh-CN"/>
        </w:rPr>
        <w:t>/</w:t>
      </w:r>
      <w:r>
        <w:rPr>
          <w:rFonts w:hint="eastAsia" w:ascii="仿宋" w:hAnsi="仿宋" w:eastAsia="仿宋" w:cs="仿宋"/>
          <w:color w:val="auto"/>
          <w:spacing w:val="-8"/>
          <w:sz w:val="24"/>
          <w:szCs w:val="24"/>
          <w:highlight w:val="none"/>
        </w:rPr>
        <w:t>应急救援物资清单</w:t>
      </w:r>
    </w:p>
    <w:p>
      <w:pPr>
        <w:spacing w:line="500" w:lineRule="exact"/>
        <w:ind w:firstLine="720" w:firstLineChars="3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6.</w:t>
      </w:r>
      <w:r>
        <w:rPr>
          <w:rFonts w:hint="eastAsia" w:ascii="仿宋" w:hAnsi="仿宋" w:eastAsia="仿宋" w:cs="仿宋"/>
          <w:color w:val="auto"/>
          <w:sz w:val="24"/>
          <w:szCs w:val="24"/>
          <w:highlight w:val="none"/>
        </w:rPr>
        <w:t>营运项目承包单位日常履约考评参照表（安全）</w:t>
      </w:r>
    </w:p>
    <w:p>
      <w:pPr>
        <w:spacing w:line="500" w:lineRule="exact"/>
        <w:ind w:left="718" w:leftChars="342" w:firstLine="0" w:firstLineChars="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7.</w:t>
      </w:r>
      <w:r>
        <w:rPr>
          <w:rFonts w:hint="eastAsia" w:ascii="仿宋" w:hAnsi="仿宋" w:eastAsia="仿宋" w:cs="仿宋"/>
          <w:color w:val="auto"/>
          <w:sz w:val="24"/>
          <w:szCs w:val="24"/>
          <w:highlight w:val="none"/>
        </w:rPr>
        <w:t>营运项目承包单位综合履约考评表（安全）</w:t>
      </w:r>
    </w:p>
    <w:p>
      <w:pPr>
        <w:spacing w:line="500" w:lineRule="exact"/>
        <w:ind w:left="718" w:leftChars="342" w:firstLine="0" w:firstLineChars="0"/>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lang w:val="en-US" w:eastAsia="zh-CN"/>
        </w:rPr>
        <w:t>8.消防安全管理协议书</w:t>
      </w:r>
    </w:p>
    <w:p>
      <w:pPr>
        <w:spacing w:line="500" w:lineRule="exact"/>
        <w:ind w:left="718" w:leftChars="342" w:firstLine="0" w:firstLineChars="0"/>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9.消防安全承诺书</w:t>
      </w:r>
    </w:p>
    <w:p>
      <w:pPr>
        <w:spacing w:line="500" w:lineRule="exact"/>
        <w:ind w:left="718" w:leftChars="342" w:firstLine="0" w:firstLineChars="0"/>
        <w:rPr>
          <w:rFonts w:hint="default"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10.技术需求</w:t>
      </w:r>
    </w:p>
    <w:p>
      <w:pPr>
        <w:spacing w:line="50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甲方：广州市净水有限公司（盖章）     乙方：</w:t>
      </w:r>
      <w:r>
        <w:rPr>
          <w:rFonts w:hint="eastAsia" w:ascii="仿宋" w:hAnsi="仿宋" w:eastAsia="仿宋" w:cs="仿宋"/>
          <w:color w:val="auto"/>
          <w:spacing w:val="-11"/>
          <w:sz w:val="24"/>
          <w:highlight w:val="none"/>
          <w:lang w:val="en-US" w:eastAsia="zh-CN"/>
        </w:rPr>
        <w:t xml:space="preserve">      </w:t>
      </w:r>
      <w:r>
        <w:rPr>
          <w:rFonts w:hint="eastAsia" w:ascii="仿宋" w:hAnsi="仿宋" w:eastAsia="仿宋" w:cs="仿宋"/>
          <w:color w:val="auto"/>
          <w:sz w:val="24"/>
          <w:highlight w:val="none"/>
        </w:rPr>
        <w:t xml:space="preserve"> （盖章）</w:t>
      </w:r>
    </w:p>
    <w:p>
      <w:pPr>
        <w:spacing w:line="50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法定代表人或                         法定代表人或</w:t>
      </w:r>
    </w:p>
    <w:p>
      <w:pPr>
        <w:spacing w:line="50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授权代理人：                         授权代理人：</w:t>
      </w:r>
    </w:p>
    <w:p>
      <w:pPr>
        <w:keepNext w:val="0"/>
        <w:keepLines w:val="0"/>
        <w:pageBreakBefore w:val="0"/>
        <w:kinsoku/>
        <w:wordWrap/>
        <w:overflowPunct/>
        <w:topLinePunct w:val="0"/>
        <w:bidi w:val="0"/>
        <w:spacing w:line="460" w:lineRule="exact"/>
        <w:ind w:left="5280" w:hanging="5280" w:hangingChars="2200"/>
        <w:textAlignment w:val="auto"/>
        <w:rPr>
          <w:rFonts w:hint="eastAsia" w:ascii="仿宋" w:hAnsi="仿宋" w:eastAsia="仿宋" w:cs="仿宋"/>
          <w:color w:val="auto"/>
          <w:sz w:val="24"/>
          <w:highlight w:val="none"/>
          <w:lang w:val="en-US"/>
        </w:rPr>
      </w:pPr>
      <w:r>
        <w:rPr>
          <w:rFonts w:hint="eastAsia" w:ascii="仿宋" w:hAnsi="仿宋" w:eastAsia="仿宋" w:cs="仿宋"/>
          <w:color w:val="auto"/>
          <w:sz w:val="24"/>
          <w:highlight w:val="none"/>
        </w:rPr>
        <w:t>地址：</w:t>
      </w:r>
      <w:r>
        <w:rPr>
          <w:rFonts w:hint="eastAsia" w:ascii="仿宋" w:hAnsi="仿宋" w:eastAsia="仿宋" w:cs="仿宋"/>
          <w:color w:val="auto"/>
          <w:sz w:val="24"/>
          <w:highlight w:val="none"/>
          <w:lang w:val="en-US" w:eastAsia="zh-CN"/>
        </w:rPr>
        <w:t>广州市天河区临江大道501号</w:t>
      </w:r>
      <w:r>
        <w:rPr>
          <w:rFonts w:hint="eastAsia" w:ascii="仿宋" w:hAnsi="仿宋" w:eastAsia="仿宋" w:cs="仿宋"/>
          <w:color w:val="auto"/>
          <w:sz w:val="24"/>
          <w:highlight w:val="none"/>
        </w:rPr>
        <w:t xml:space="preserve"> </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 xml:space="preserve">   地址：</w:t>
      </w:r>
      <w:r>
        <w:rPr>
          <w:rFonts w:hint="eastAsia" w:ascii="仿宋" w:hAnsi="仿宋" w:eastAsia="仿宋" w:cs="仿宋"/>
          <w:color w:val="auto"/>
          <w:sz w:val="24"/>
          <w:highlight w:val="none"/>
          <w:lang w:val="en-US" w:eastAsia="zh-CN"/>
        </w:rPr>
        <w:t xml:space="preserve">         </w:t>
      </w:r>
    </w:p>
    <w:p>
      <w:pPr>
        <w:spacing w:line="50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经办人：                      </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 xml:space="preserve"> 经办人：</w:t>
      </w:r>
    </w:p>
    <w:p>
      <w:pPr>
        <w:spacing w:line="500" w:lineRule="exact"/>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rPr>
        <w:t xml:space="preserve">联系电话：              </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 xml:space="preserve"> </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联系电话：</w:t>
      </w:r>
      <w:r>
        <w:rPr>
          <w:rFonts w:hint="eastAsia" w:ascii="仿宋" w:hAnsi="仿宋" w:eastAsia="仿宋" w:cs="仿宋"/>
          <w:color w:val="auto"/>
          <w:sz w:val="24"/>
          <w:highlight w:val="none"/>
          <w:lang w:val="en-US" w:eastAsia="zh-CN"/>
        </w:rPr>
        <w:t xml:space="preserve">     </w:t>
      </w:r>
    </w:p>
    <w:p>
      <w:pPr>
        <w:spacing w:line="500" w:lineRule="exact"/>
        <w:ind w:left="6360" w:hanging="6360" w:hangingChars="2650"/>
        <w:rPr>
          <w:rFonts w:hint="eastAsia" w:ascii="仿宋" w:hAnsi="仿宋" w:eastAsia="仿宋" w:cs="仿宋"/>
          <w:color w:val="auto"/>
          <w:sz w:val="24"/>
          <w:highlight w:val="none"/>
        </w:rPr>
      </w:pPr>
      <w:r>
        <w:rPr>
          <w:rFonts w:hint="eastAsia" w:ascii="仿宋" w:hAnsi="仿宋" w:eastAsia="仿宋" w:cs="仿宋"/>
          <w:color w:val="auto"/>
          <w:sz w:val="24"/>
          <w:highlight w:val="none"/>
        </w:rPr>
        <w:t>传真：                               传真：</w:t>
      </w:r>
    </w:p>
    <w:p>
      <w:pPr>
        <w:spacing w:line="500" w:lineRule="exact"/>
        <w:ind w:left="6360" w:hanging="6360" w:hangingChars="2650"/>
        <w:rPr>
          <w:rFonts w:hint="eastAsia" w:ascii="仿宋" w:hAnsi="仿宋" w:eastAsia="仿宋" w:cs="仿宋"/>
          <w:color w:val="auto"/>
          <w:highlight w:val="none"/>
        </w:rPr>
      </w:pPr>
      <w:r>
        <w:rPr>
          <w:rFonts w:hint="eastAsia" w:ascii="仿宋" w:hAnsi="仿宋" w:eastAsia="仿宋" w:cs="仿宋"/>
          <w:color w:val="auto"/>
          <w:sz w:val="24"/>
          <w:highlight w:val="none"/>
        </w:rPr>
        <w:t xml:space="preserve">签署日期：    年    月    日         签署日期：    年    月    日  </w:t>
      </w:r>
    </w:p>
    <w:p>
      <w:pPr>
        <w:spacing w:line="240" w:lineRule="auto"/>
        <w:rPr>
          <w:rFonts w:hint="eastAsia" w:ascii="仿宋" w:hAnsi="仿宋" w:eastAsia="仿宋" w:cs="仿宋"/>
          <w:b/>
          <w:bCs/>
          <w:color w:val="auto"/>
          <w:szCs w:val="21"/>
          <w:highlight w:val="none"/>
        </w:rPr>
      </w:pPr>
      <w:r>
        <w:rPr>
          <w:rFonts w:hint="eastAsia" w:ascii="仿宋" w:hAnsi="仿宋" w:eastAsia="仿宋" w:cs="仿宋"/>
          <w:b/>
          <w:bCs/>
          <w:color w:val="auto"/>
          <w:szCs w:val="21"/>
          <w:highlight w:val="none"/>
        </w:rPr>
        <w:br w:type="page"/>
      </w:r>
    </w:p>
    <w:p>
      <w:pPr>
        <w:spacing w:line="360" w:lineRule="auto"/>
        <w:rPr>
          <w:rFonts w:hint="eastAsia" w:ascii="宋体" w:hAnsi="宋体" w:cs="宋体"/>
          <w:b/>
          <w:bCs/>
          <w:szCs w:val="21"/>
        </w:rPr>
      </w:pPr>
      <w:r>
        <w:rPr>
          <w:rFonts w:hint="eastAsia" w:ascii="宋体" w:hAnsi="宋体" w:cs="宋体"/>
          <w:b/>
          <w:bCs/>
          <w:szCs w:val="21"/>
        </w:rPr>
        <w:t>附件1  成交通知书</w:t>
      </w:r>
    </w:p>
    <w:p>
      <w:pPr>
        <w:spacing w:line="360" w:lineRule="auto"/>
        <w:rPr>
          <w:rFonts w:hint="eastAsia" w:ascii="宋体" w:hAnsi="宋体" w:cs="宋体"/>
          <w:b/>
          <w:bCs/>
          <w:szCs w:val="21"/>
        </w:rPr>
      </w:pPr>
    </w:p>
    <w:p>
      <w:pPr>
        <w:spacing w:line="360" w:lineRule="auto"/>
        <w:rPr>
          <w:rFonts w:hint="eastAsia" w:ascii="宋体" w:hAnsi="宋体" w:cs="宋体"/>
          <w:b/>
          <w:bCs/>
          <w:szCs w:val="21"/>
        </w:rPr>
      </w:pPr>
    </w:p>
    <w:p>
      <w:pPr>
        <w:spacing w:line="360" w:lineRule="auto"/>
        <w:rPr>
          <w:rFonts w:ascii="宋体" w:hAnsi="宋体" w:cs="宋体"/>
          <w:b/>
          <w:bCs/>
          <w:szCs w:val="21"/>
        </w:rPr>
      </w:pPr>
      <w:r>
        <w:rPr>
          <w:rFonts w:hint="eastAsia" w:ascii="宋体" w:hAnsi="宋体" w:cs="宋体"/>
          <w:b/>
          <w:bCs/>
          <w:szCs w:val="21"/>
        </w:rPr>
        <w:t>附件2：廉洁协议</w:t>
      </w:r>
    </w:p>
    <w:p>
      <w:pPr>
        <w:keepNext w:val="0"/>
        <w:keepLines w:val="0"/>
        <w:pageBreakBefore w:val="0"/>
        <w:kinsoku/>
        <w:wordWrap/>
        <w:overflowPunct/>
        <w:topLinePunct w:val="0"/>
        <w:autoSpaceDE/>
        <w:autoSpaceDN/>
        <w:bidi w:val="0"/>
        <w:snapToGrid/>
        <w:spacing w:line="520" w:lineRule="exact"/>
        <w:ind w:firstLine="3640" w:firstLineChars="1300"/>
        <w:jc w:val="both"/>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廉洁协议</w:t>
      </w:r>
    </w:p>
    <w:p>
      <w:pPr>
        <w:keepNext w:val="0"/>
        <w:keepLines w:val="0"/>
        <w:pageBreakBefore w:val="0"/>
        <w:kinsoku/>
        <w:wordWrap/>
        <w:overflowPunct/>
        <w:topLinePunct w:val="0"/>
        <w:autoSpaceDE/>
        <w:autoSpaceDN/>
        <w:bidi w:val="0"/>
        <w:snapToGrid/>
        <w:spacing w:line="520" w:lineRule="exact"/>
        <w:ind w:firstLine="630" w:firstLineChars="225"/>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为促进双方诚信经营、廉洁从业，防范商业贿赂，保护国家、集体和当事人的合法权益，根据国家有关法律法规和广东省、广州市廉政建设的规定，</w:t>
      </w:r>
      <w:r>
        <w:rPr>
          <w:rFonts w:hint="eastAsia" w:ascii="仿宋_GB2312" w:hAnsi="仿宋_GB2312" w:eastAsia="仿宋_GB2312" w:cs="仿宋_GB2312"/>
          <w:b w:val="0"/>
          <w:bCs/>
          <w:color w:val="auto"/>
          <w:sz w:val="28"/>
          <w:szCs w:val="28"/>
          <w:highlight w:val="none"/>
          <w:u w:val="single"/>
        </w:rPr>
        <w:t>广州市净水有限公司</w:t>
      </w:r>
      <w:r>
        <w:rPr>
          <w:rFonts w:hint="eastAsia" w:ascii="仿宋_GB2312" w:hAnsi="仿宋_GB2312" w:eastAsia="仿宋_GB2312" w:cs="仿宋_GB2312"/>
          <w:b w:val="0"/>
          <w:bCs/>
          <w:color w:val="auto"/>
          <w:sz w:val="28"/>
          <w:szCs w:val="28"/>
          <w:highlight w:val="none"/>
        </w:rPr>
        <w:t>(以下称甲方)与</w:t>
      </w:r>
      <w:r>
        <w:rPr>
          <w:rFonts w:hint="eastAsia" w:ascii="仿宋_GB2312" w:hAnsi="仿宋_GB2312" w:eastAsia="仿宋_GB2312" w:cs="仿宋_GB2312"/>
          <w:b w:val="0"/>
          <w:bCs/>
          <w:color w:val="auto"/>
          <w:sz w:val="28"/>
          <w:szCs w:val="28"/>
          <w:highlight w:val="none"/>
          <w:u w:val="single"/>
          <w:lang w:val="en-US" w:eastAsia="zh-CN"/>
        </w:rPr>
        <w:t xml:space="preserve">            </w:t>
      </w:r>
      <w:r>
        <w:rPr>
          <w:rFonts w:hint="eastAsia" w:ascii="仿宋_GB2312" w:hAnsi="仿宋_GB2312" w:eastAsia="仿宋_GB2312" w:cs="仿宋_GB2312"/>
          <w:b w:val="0"/>
          <w:bCs/>
          <w:color w:val="auto"/>
          <w:sz w:val="28"/>
          <w:szCs w:val="28"/>
          <w:highlight w:val="none"/>
        </w:rPr>
        <w:t>(以下称乙方)，特此订立本协议共同遵照执行。</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第一条 甲乙双方的权利和义务</w:t>
      </w:r>
    </w:p>
    <w:p>
      <w:pPr>
        <w:keepNext w:val="0"/>
        <w:keepLines w:val="0"/>
        <w:pageBreakBefore w:val="0"/>
        <w:kinsoku/>
        <w:wordWrap/>
        <w:overflowPunct/>
        <w:topLinePunct w:val="0"/>
        <w:autoSpaceDE/>
        <w:autoSpaceDN/>
        <w:bidi w:val="0"/>
        <w:snapToGrid/>
        <w:spacing w:line="520" w:lineRule="exact"/>
        <w:ind w:firstLine="420" w:firstLineChars="15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（一）甲乙双方严格遵守国家关于市场准入、项目招标投标、市场经营活动等有关法律、法规相关政策及廉政建设的各项规定。</w:t>
      </w:r>
    </w:p>
    <w:p>
      <w:pPr>
        <w:keepNext w:val="0"/>
        <w:keepLines w:val="0"/>
        <w:pageBreakBefore w:val="0"/>
        <w:kinsoku/>
        <w:wordWrap/>
        <w:overflowPunct/>
        <w:topLinePunct w:val="0"/>
        <w:autoSpaceDE/>
        <w:autoSpaceDN/>
        <w:bidi w:val="0"/>
        <w:snapToGrid/>
        <w:spacing w:line="520" w:lineRule="exact"/>
        <w:ind w:firstLine="420" w:firstLineChars="15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（二）严格执行</w:t>
      </w:r>
      <w:r>
        <w:rPr>
          <w:rFonts w:hint="eastAsia" w:ascii="仿宋_GB2312" w:hAnsi="仿宋_GB2312" w:eastAsia="仿宋_GB2312" w:cs="仿宋_GB2312"/>
          <w:b w:val="0"/>
          <w:bCs/>
          <w:color w:val="auto"/>
          <w:sz w:val="28"/>
          <w:szCs w:val="28"/>
          <w:highlight w:val="none"/>
          <w:u w:val="single"/>
        </w:rPr>
        <w:t xml:space="preserve"> </w:t>
      </w:r>
      <w:r>
        <w:rPr>
          <w:rFonts w:hint="eastAsia" w:ascii="仿宋_GB2312" w:hAnsi="仿宋_GB2312" w:eastAsia="仿宋_GB2312" w:cs="仿宋_GB2312"/>
          <w:b w:val="0"/>
          <w:bCs/>
          <w:color w:val="auto"/>
          <w:sz w:val="28"/>
          <w:szCs w:val="28"/>
          <w:highlight w:val="none"/>
          <w:u w:val="single"/>
          <w:lang w:val="en-US" w:eastAsia="zh-CN"/>
        </w:rPr>
        <w:t xml:space="preserve">                 </w:t>
      </w:r>
      <w:r>
        <w:rPr>
          <w:rFonts w:hint="eastAsia" w:ascii="仿宋_GB2312" w:hAnsi="仿宋_GB2312" w:eastAsia="仿宋_GB2312" w:cs="仿宋_GB2312"/>
          <w:b w:val="0"/>
          <w:bCs/>
          <w:color w:val="auto"/>
          <w:sz w:val="28"/>
          <w:szCs w:val="28"/>
          <w:highlight w:val="none"/>
        </w:rPr>
        <w:t>合同（以下简称：主合同），自觉履行合同约定的相关义务。</w:t>
      </w:r>
    </w:p>
    <w:p>
      <w:pPr>
        <w:keepNext w:val="0"/>
        <w:keepLines w:val="0"/>
        <w:pageBreakBefore w:val="0"/>
        <w:kinsoku/>
        <w:wordWrap/>
        <w:overflowPunct/>
        <w:topLinePunct w:val="0"/>
        <w:autoSpaceDE/>
        <w:autoSpaceDN/>
        <w:bidi w:val="0"/>
        <w:snapToGrid/>
        <w:spacing w:line="520" w:lineRule="exact"/>
        <w:ind w:firstLine="420" w:firstLineChars="15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（三）在业务活动中坚持公开、公正、诚信、透明的原则，不得损害国家、集体利益。</w:t>
      </w:r>
    </w:p>
    <w:p>
      <w:pPr>
        <w:keepNext w:val="0"/>
        <w:keepLines w:val="0"/>
        <w:pageBreakBefore w:val="0"/>
        <w:kinsoku/>
        <w:wordWrap/>
        <w:overflowPunct/>
        <w:topLinePunct w:val="0"/>
        <w:autoSpaceDE/>
        <w:autoSpaceDN/>
        <w:bidi w:val="0"/>
        <w:snapToGrid/>
        <w:spacing w:line="520" w:lineRule="exact"/>
        <w:ind w:firstLine="420" w:firstLineChars="15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（四）建立健全廉洁从业制度，开展廉洁教育，公布举报电话，监督并认真查处不廉洁及违法违纪行为。</w:t>
      </w:r>
    </w:p>
    <w:p>
      <w:pPr>
        <w:keepNext w:val="0"/>
        <w:keepLines w:val="0"/>
        <w:pageBreakBefore w:val="0"/>
        <w:kinsoku/>
        <w:wordWrap/>
        <w:overflowPunct/>
        <w:topLinePunct w:val="0"/>
        <w:autoSpaceDE/>
        <w:autoSpaceDN/>
        <w:bidi w:val="0"/>
        <w:snapToGrid/>
        <w:spacing w:line="520" w:lineRule="exact"/>
        <w:ind w:firstLine="420" w:firstLineChars="150"/>
        <w:rPr>
          <w:rFonts w:hint="default" w:ascii="仿宋_GB2312" w:hAnsi="仿宋_GB2312" w:eastAsia="仿宋_GB2312" w:cs="仿宋_GB2312"/>
          <w:b w:val="0"/>
          <w:bCs/>
          <w:color w:val="auto"/>
          <w:sz w:val="28"/>
          <w:szCs w:val="28"/>
          <w:highlight w:val="none"/>
          <w:lang w:val="en-US" w:eastAsia="zh-CN"/>
        </w:rPr>
      </w:pPr>
      <w:r>
        <w:rPr>
          <w:rFonts w:hint="eastAsia" w:ascii="仿宋_GB2312" w:hAnsi="仿宋_GB2312" w:eastAsia="仿宋_GB2312" w:cs="仿宋_GB2312"/>
          <w:b w:val="0"/>
          <w:bCs/>
          <w:color w:val="auto"/>
          <w:sz w:val="28"/>
          <w:szCs w:val="28"/>
          <w:highlight w:val="none"/>
        </w:rPr>
        <w:t>（五）发现对方在业务活动中有不廉洁行为，应及时提醒对方纠正。情节严重的，应向其有关监督部门</w:t>
      </w:r>
      <w:r>
        <w:rPr>
          <w:rFonts w:hint="eastAsia" w:ascii="仿宋_GB2312" w:hAnsi="仿宋_GB2312" w:eastAsia="仿宋_GB2312" w:cs="仿宋_GB2312"/>
          <w:b w:val="0"/>
          <w:bCs/>
          <w:color w:val="auto"/>
          <w:sz w:val="28"/>
          <w:szCs w:val="28"/>
          <w:highlight w:val="none"/>
          <w:lang w:val="en-US" w:eastAsia="zh-CN"/>
        </w:rPr>
        <w:t>检举。</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第二条甲方的义务</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（一）甲方及其工作人员不得索要或接受乙方的礼金、有价证券和贵重物品，不得在乙方报销任何应由甲方或个人支付的费用等。</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二）甲方工作人员不得参加乙方安排的可能影响相关业务公开、公正、公平性的宴请和娱乐活动；不得参与任何形式的赌博，并通过赌博方式收受乙方财物；不得接受乙方提供的通讯工具、交通工具（合同约定除外）和高档办公用品等。</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（三）甲方及其工作人员不得要求或者接受乙方为其住房装修、婚丧嫁娶活动、配偶子女工作安排以及出国出境、旅游等提供方便等。</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（四）甲方工作人员不得在乙方或与乙方有股权关联的企业兼职，不得向乙方介绍家属或者亲友从事与甲方业务有关的经济活动。</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五）甲方工作人员不得以明显低于市场的价格向乙方购买房屋、汽车等物品；不得以明显高于市场的价格向乙方出售房屋、汽车等物品；不得使用乙方提供的与工作无关的房屋、汽车等物品；不得以其他交易形式非法收受请托人财物。</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（六）甲方工作人员不得利用职务之便收受乙方以回扣、手续费、加班费、咨询费、劳务费、协调费、辛苦费等各种名义给予或赠送的钱物。</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（七）甲方工作人员不得接受乙方给予或赠送的干股或红利。</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lang w:val="en-US" w:eastAsia="zh-CN"/>
        </w:rPr>
      </w:pPr>
      <w:r>
        <w:rPr>
          <w:rFonts w:hint="eastAsia" w:ascii="仿宋_GB2312" w:hAnsi="仿宋_GB2312" w:eastAsia="仿宋_GB2312" w:cs="仿宋_GB2312"/>
          <w:b w:val="0"/>
          <w:bCs/>
          <w:color w:val="auto"/>
          <w:sz w:val="28"/>
          <w:szCs w:val="28"/>
          <w:highlight w:val="none"/>
          <w:lang w:val="en-US" w:eastAsia="zh-CN"/>
        </w:rPr>
        <w:t>(八）不得存在其他违反廉洁规定的行为。</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第三条乙方的义务</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（一）乙方不得以任何理由向甲方及其工作人员行贿或馈赠礼金、有价证券、贵重礼品。</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（二)乙方不得以任何名义为甲方及其工作人员报销应由甲方单位或个人支付的任何费用。</w:t>
      </w:r>
    </w:p>
    <w:p>
      <w:pPr>
        <w:keepNext w:val="0"/>
        <w:keepLines w:val="0"/>
        <w:pageBreakBefore w:val="0"/>
        <w:kinsoku/>
        <w:wordWrap/>
        <w:overflowPunct/>
        <w:topLinePunct w:val="0"/>
        <w:autoSpaceDE/>
        <w:autoSpaceDN/>
        <w:bidi w:val="0"/>
        <w:snapToGrid/>
        <w:spacing w:line="520" w:lineRule="exact"/>
        <w:ind w:left="25" w:leftChars="12"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（三）乙方不得以任何理由安排甲方工作人员参加可能影响相关业务公开、公正、公平性的宴请及娱乐活动。</w:t>
      </w:r>
    </w:p>
    <w:p>
      <w:pPr>
        <w:pStyle w:val="16"/>
        <w:keepNext w:val="0"/>
        <w:keepLines w:val="0"/>
        <w:pageBreakBefore w:val="0"/>
        <w:kinsoku/>
        <w:wordWrap/>
        <w:overflowPunct/>
        <w:topLinePunct w:val="0"/>
        <w:autoSpaceDE/>
        <w:autoSpaceDN/>
        <w:bidi w:val="0"/>
        <w:snapToGrid/>
        <w:spacing w:line="520" w:lineRule="exact"/>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（四）乙方不得为甲方单位和个人购置或提供通讯工具和高档办公用品等物品，也不得为甲方提供与工作无关的房屋、汽车等。</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（五）乙方不得擅自与甲方工作人员就</w:t>
      </w:r>
      <w:r>
        <w:rPr>
          <w:rFonts w:hint="eastAsia" w:ascii="仿宋_GB2312" w:hAnsi="仿宋_GB2312" w:eastAsia="仿宋_GB2312" w:cs="仿宋_GB2312"/>
          <w:b w:val="0"/>
          <w:bCs/>
          <w:color w:val="auto"/>
          <w:sz w:val="28"/>
          <w:szCs w:val="28"/>
          <w:highlight w:val="none"/>
          <w:lang w:val="en-US" w:eastAsia="zh-CN"/>
        </w:rPr>
        <w:t>主</w:t>
      </w:r>
      <w:r>
        <w:rPr>
          <w:rFonts w:hint="eastAsia" w:ascii="仿宋_GB2312" w:hAnsi="仿宋_GB2312" w:eastAsia="仿宋_GB2312" w:cs="仿宋_GB2312"/>
          <w:b w:val="0"/>
          <w:bCs/>
          <w:color w:val="auto"/>
          <w:sz w:val="28"/>
          <w:szCs w:val="28"/>
          <w:highlight w:val="none"/>
        </w:rPr>
        <w:t>合同中的质量、数量、价格、工程量、验收等条款进行私下商谈或者达成默契。</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（六）乙方不得以回扣、手续费、加班费、咨询费、劳务费、协调费、辛苦费等各种名义向甲方工作人员给予或赠送钱物。</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（七）乙方不得向甲方工作人员提供干股或红利。</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lang w:val="en-US" w:eastAsia="zh-CN"/>
        </w:rPr>
      </w:pPr>
      <w:r>
        <w:rPr>
          <w:rFonts w:hint="eastAsia" w:ascii="仿宋_GB2312" w:hAnsi="仿宋_GB2312" w:eastAsia="仿宋_GB2312" w:cs="仿宋_GB2312"/>
          <w:b w:val="0"/>
          <w:bCs/>
          <w:color w:val="auto"/>
          <w:sz w:val="28"/>
          <w:szCs w:val="28"/>
          <w:highlight w:val="none"/>
          <w:lang w:val="en-US" w:eastAsia="zh-CN"/>
        </w:rPr>
        <w:t>(八）不得存在其他违反廉洁规定的行为。</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第四条违约责任</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（一）甲方及其工作人员违反本协议第一、二条。甲方按管理权限，对相关责任人依据有关规定给予处理；涉嫌犯罪的，移交司法机关追究刑事责任；给乙方单位造成经济损失的，应予以赔偿。</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甲方举报投诉联系部门：广州市净水有限公司</w:t>
      </w:r>
      <w:r>
        <w:rPr>
          <w:rFonts w:hint="eastAsia" w:ascii="仿宋_GB2312" w:hAnsi="仿宋_GB2312" w:eastAsia="仿宋_GB2312" w:cs="仿宋_GB2312"/>
          <w:b w:val="0"/>
          <w:bCs/>
          <w:color w:val="auto"/>
          <w:sz w:val="28"/>
          <w:szCs w:val="28"/>
          <w:highlight w:val="none"/>
          <w:u w:val="single"/>
        </w:rPr>
        <w:t>纪检室</w:t>
      </w:r>
      <w:r>
        <w:rPr>
          <w:rFonts w:hint="eastAsia" w:ascii="仿宋_GB2312" w:hAnsi="仿宋_GB2312" w:eastAsia="仿宋_GB2312" w:cs="仿宋_GB2312"/>
          <w:b w:val="0"/>
          <w:bCs/>
          <w:color w:val="auto"/>
          <w:sz w:val="28"/>
          <w:szCs w:val="28"/>
          <w:highlight w:val="none"/>
        </w:rPr>
        <w:t>，联系电话：</w:t>
      </w:r>
      <w:r>
        <w:rPr>
          <w:rFonts w:hint="eastAsia" w:ascii="仿宋_GB2312" w:hAnsi="仿宋_GB2312" w:eastAsia="仿宋_GB2312" w:cs="仿宋_GB2312"/>
          <w:b w:val="0"/>
          <w:bCs/>
          <w:color w:val="auto"/>
          <w:sz w:val="28"/>
          <w:szCs w:val="28"/>
          <w:highlight w:val="none"/>
          <w:u w:val="single"/>
        </w:rPr>
        <w:t xml:space="preserve"> 020-38890265 </w:t>
      </w:r>
      <w:r>
        <w:rPr>
          <w:rFonts w:hint="eastAsia" w:ascii="仿宋_GB2312" w:hAnsi="仿宋_GB2312" w:eastAsia="仿宋_GB2312" w:cs="仿宋_GB2312"/>
          <w:b w:val="0"/>
          <w:bCs/>
          <w:color w:val="auto"/>
          <w:sz w:val="28"/>
          <w:szCs w:val="28"/>
          <w:highlight w:val="none"/>
        </w:rPr>
        <w:t>。</w:t>
      </w:r>
    </w:p>
    <w:p>
      <w:pPr>
        <w:pStyle w:val="22"/>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（二）乙方及其工作人员</w:t>
      </w:r>
      <w:r>
        <w:rPr>
          <w:rFonts w:hint="eastAsia" w:ascii="仿宋_GB2312" w:hAnsi="仿宋_GB2312" w:eastAsia="仿宋_GB2312" w:cs="仿宋_GB2312"/>
          <w:b w:val="0"/>
          <w:bCs/>
          <w:i w:val="0"/>
          <w:iCs w:val="0"/>
          <w:caps w:val="0"/>
          <w:color w:val="auto"/>
          <w:spacing w:val="0"/>
          <w:sz w:val="28"/>
          <w:szCs w:val="28"/>
          <w:highlight w:val="none"/>
          <w:lang w:val="en-US" w:eastAsia="zh-CN"/>
        </w:rPr>
        <w:t>存在</w:t>
      </w:r>
      <w:r>
        <w:rPr>
          <w:rFonts w:hint="eastAsia" w:ascii="仿宋_GB2312" w:hAnsi="仿宋_GB2312" w:eastAsia="仿宋_GB2312" w:cs="仿宋_GB2312"/>
          <w:b w:val="0"/>
          <w:bCs/>
          <w:i w:val="0"/>
          <w:iCs w:val="0"/>
          <w:caps w:val="0"/>
          <w:color w:val="auto"/>
          <w:spacing w:val="0"/>
          <w:sz w:val="28"/>
          <w:szCs w:val="28"/>
          <w:highlight w:val="none"/>
        </w:rPr>
        <w:t>违反本协议第一、三条规定、或在甲方招标、询价等过程中违反法律法规中的廉洁规定</w:t>
      </w:r>
      <w:r>
        <w:rPr>
          <w:rFonts w:hint="eastAsia" w:ascii="仿宋_GB2312" w:hAnsi="仿宋_GB2312" w:eastAsia="仿宋_GB2312" w:cs="仿宋_GB2312"/>
          <w:b w:val="0"/>
          <w:bCs/>
          <w:i w:val="0"/>
          <w:iCs w:val="0"/>
          <w:caps w:val="0"/>
          <w:color w:val="auto"/>
          <w:spacing w:val="0"/>
          <w:sz w:val="28"/>
          <w:szCs w:val="28"/>
          <w:highlight w:val="none"/>
          <w:lang w:val="en-US" w:eastAsia="zh-CN"/>
        </w:rPr>
        <w:t>的行为</w:t>
      </w:r>
      <w:r>
        <w:rPr>
          <w:rFonts w:hint="eastAsia" w:ascii="仿宋_GB2312" w:hAnsi="仿宋_GB2312" w:eastAsia="仿宋_GB2312" w:cs="仿宋_GB2312"/>
          <w:b w:val="0"/>
          <w:bCs/>
          <w:i w:val="0"/>
          <w:iCs w:val="0"/>
          <w:caps w:val="0"/>
          <w:color w:val="auto"/>
          <w:spacing w:val="0"/>
          <w:sz w:val="28"/>
          <w:szCs w:val="28"/>
          <w:highlight w:val="none"/>
        </w:rPr>
        <w:t>，</w:t>
      </w:r>
      <w:r>
        <w:rPr>
          <w:rFonts w:hint="eastAsia" w:ascii="仿宋_GB2312" w:hAnsi="仿宋_GB2312" w:eastAsia="仿宋_GB2312" w:cs="仿宋_GB2312"/>
          <w:b w:val="0"/>
          <w:bCs/>
          <w:i w:val="0"/>
          <w:iCs w:val="0"/>
          <w:caps w:val="0"/>
          <w:color w:val="auto"/>
          <w:spacing w:val="0"/>
          <w:sz w:val="28"/>
          <w:szCs w:val="28"/>
          <w:highlight w:val="none"/>
          <w:lang w:val="en-US" w:eastAsia="zh-CN"/>
        </w:rPr>
        <w:t>无论该行为是否与主合同有关，</w:t>
      </w:r>
      <w:r>
        <w:rPr>
          <w:rFonts w:hint="eastAsia" w:ascii="仿宋_GB2312" w:hAnsi="仿宋_GB2312" w:eastAsia="仿宋_GB2312" w:cs="仿宋_GB2312"/>
          <w:b w:val="0"/>
          <w:bCs/>
          <w:i w:val="0"/>
          <w:iCs w:val="0"/>
          <w:caps w:val="0"/>
          <w:color w:val="auto"/>
          <w:spacing w:val="0"/>
          <w:sz w:val="28"/>
          <w:szCs w:val="28"/>
          <w:highlight w:val="none"/>
        </w:rPr>
        <w:t>甲方</w:t>
      </w:r>
      <w:r>
        <w:rPr>
          <w:rFonts w:hint="eastAsia" w:ascii="仿宋_GB2312" w:hAnsi="仿宋_GB2312" w:eastAsia="仿宋_GB2312" w:cs="仿宋_GB2312"/>
          <w:b w:val="0"/>
          <w:bCs/>
          <w:i w:val="0"/>
          <w:iCs w:val="0"/>
          <w:caps w:val="0"/>
          <w:color w:val="auto"/>
          <w:spacing w:val="0"/>
          <w:sz w:val="28"/>
          <w:szCs w:val="28"/>
          <w:highlight w:val="none"/>
          <w:lang w:val="en-US" w:eastAsia="zh-CN"/>
        </w:rPr>
        <w:t>均</w:t>
      </w:r>
      <w:r>
        <w:rPr>
          <w:rFonts w:hint="eastAsia" w:ascii="仿宋_GB2312" w:hAnsi="仿宋_GB2312" w:eastAsia="仿宋_GB2312" w:cs="仿宋_GB2312"/>
          <w:b w:val="0"/>
          <w:bCs/>
          <w:i w:val="0"/>
          <w:iCs w:val="0"/>
          <w:caps w:val="0"/>
          <w:color w:val="auto"/>
          <w:spacing w:val="0"/>
          <w:sz w:val="28"/>
          <w:szCs w:val="28"/>
          <w:highlight w:val="none"/>
        </w:rPr>
        <w:t>有权根据具体情节和造成的后果，对乙方采取以下处理</w:t>
      </w:r>
      <w:r>
        <w:rPr>
          <w:rFonts w:hint="eastAsia" w:ascii="仿宋_GB2312" w:hAnsi="仿宋_GB2312" w:eastAsia="仿宋_GB2312" w:cs="仿宋_GB2312"/>
          <w:b w:val="0"/>
          <w:bCs/>
          <w:i w:val="0"/>
          <w:iCs w:val="0"/>
          <w:caps w:val="0"/>
          <w:color w:val="auto"/>
          <w:spacing w:val="0"/>
          <w:sz w:val="28"/>
          <w:szCs w:val="28"/>
          <w:highlight w:val="none"/>
          <w:lang w:val="en-US" w:eastAsia="zh-CN"/>
        </w:rPr>
        <w:t>方式</w:t>
      </w:r>
      <w:r>
        <w:rPr>
          <w:rFonts w:hint="eastAsia" w:ascii="仿宋_GB2312" w:hAnsi="仿宋_GB2312" w:eastAsia="仿宋_GB2312" w:cs="仿宋_GB2312"/>
          <w:b w:val="0"/>
          <w:bCs/>
          <w:i w:val="0"/>
          <w:iCs w:val="0"/>
          <w:caps w:val="0"/>
          <w:color w:val="auto"/>
          <w:spacing w:val="0"/>
          <w:sz w:val="28"/>
          <w:szCs w:val="28"/>
          <w:highlight w:val="none"/>
        </w:rPr>
        <w:t>：</w:t>
      </w:r>
    </w:p>
    <w:p>
      <w:pPr>
        <w:pStyle w:val="22"/>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1、扣除主合同的全部履约保证金；</w:t>
      </w:r>
    </w:p>
    <w:p>
      <w:pPr>
        <w:pStyle w:val="22"/>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2、解除</w:t>
      </w:r>
      <w:r>
        <w:rPr>
          <w:rFonts w:hint="eastAsia" w:ascii="仿宋_GB2312" w:hAnsi="仿宋_GB2312" w:eastAsia="仿宋_GB2312" w:cs="仿宋_GB2312"/>
          <w:b w:val="0"/>
          <w:bCs/>
          <w:i w:val="0"/>
          <w:iCs w:val="0"/>
          <w:caps w:val="0"/>
          <w:color w:val="auto"/>
          <w:spacing w:val="0"/>
          <w:sz w:val="28"/>
          <w:szCs w:val="28"/>
          <w:highlight w:val="none"/>
          <w:lang w:val="en-US" w:eastAsia="zh-CN"/>
        </w:rPr>
        <w:t>主合同</w:t>
      </w:r>
      <w:r>
        <w:rPr>
          <w:rFonts w:hint="eastAsia" w:ascii="仿宋_GB2312" w:hAnsi="仿宋_GB2312" w:eastAsia="仿宋_GB2312" w:cs="仿宋_GB2312"/>
          <w:b w:val="0"/>
          <w:bCs/>
          <w:i w:val="0"/>
          <w:iCs w:val="0"/>
          <w:caps w:val="0"/>
          <w:color w:val="auto"/>
          <w:spacing w:val="0"/>
          <w:sz w:val="28"/>
          <w:szCs w:val="28"/>
          <w:highlight w:val="none"/>
        </w:rPr>
        <w:t>；</w:t>
      </w:r>
    </w:p>
    <w:p>
      <w:pPr>
        <w:pStyle w:val="22"/>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3、追究乙方其他违约责任；</w:t>
      </w:r>
    </w:p>
    <w:p>
      <w:pPr>
        <w:pStyle w:val="22"/>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4、根据甲方的有关规章制度，在一定时间内暂停乙方参与甲方及下属单位所有项目的交易资格；</w:t>
      </w:r>
    </w:p>
    <w:p>
      <w:pPr>
        <w:pStyle w:val="22"/>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5、根据甲方的有关规章制度，将乙方清退出甲方相关企业库；</w:t>
      </w:r>
    </w:p>
    <w:p>
      <w:pPr>
        <w:pStyle w:val="22"/>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6、根据甲方上级单位、行政主管部门的意见、决定执行；</w:t>
      </w:r>
    </w:p>
    <w:p>
      <w:pPr>
        <w:pStyle w:val="22"/>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7、按规定向有关行政监督部门、乙方业务管理部门进行投诉、报告。</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乙方无条件接受甲方的处理决定并承担给甲方造成的损失，全额返还通过不正当手段获取的非法所得，并承担相应的法律责任。</w:t>
      </w:r>
    </w:p>
    <w:p>
      <w:pPr>
        <w:keepNext w:val="0"/>
        <w:keepLines w:val="0"/>
        <w:pageBreakBefore w:val="0"/>
        <w:kinsoku/>
        <w:wordWrap/>
        <w:overflowPunct/>
        <w:topLinePunct w:val="0"/>
        <w:autoSpaceDE/>
        <w:autoSpaceDN/>
        <w:bidi w:val="0"/>
        <w:snapToGrid/>
        <w:spacing w:after="0" w:line="520" w:lineRule="exact"/>
        <w:ind w:firstLine="560" w:firstLineChars="200"/>
        <w:rPr>
          <w:rFonts w:hint="eastAsia" w:ascii="仿宋_GB2312" w:hAnsi="仿宋_GB2312" w:eastAsia="仿宋_GB2312" w:cs="仿宋_GB2312"/>
          <w:b w:val="0"/>
          <w:bCs/>
          <w:color w:val="auto"/>
          <w:kern w:val="0"/>
          <w:sz w:val="28"/>
          <w:szCs w:val="28"/>
          <w:highlight w:val="none"/>
        </w:rPr>
      </w:pPr>
      <w:r>
        <w:rPr>
          <w:rFonts w:hint="eastAsia" w:ascii="仿宋_GB2312" w:hAnsi="仿宋_GB2312" w:eastAsia="仿宋_GB2312" w:cs="仿宋_GB2312"/>
          <w:b w:val="0"/>
          <w:bCs/>
          <w:color w:val="auto"/>
          <w:sz w:val="28"/>
          <w:szCs w:val="28"/>
          <w:highlight w:val="none"/>
        </w:rPr>
        <w:t xml:space="preserve">第五条 </w:t>
      </w:r>
      <w:r>
        <w:rPr>
          <w:rFonts w:hint="eastAsia" w:ascii="仿宋_GB2312" w:hAnsi="仿宋_GB2312" w:eastAsia="仿宋_GB2312" w:cs="仿宋_GB2312"/>
          <w:b w:val="0"/>
          <w:bCs/>
          <w:color w:val="auto"/>
          <w:kern w:val="0"/>
          <w:sz w:val="28"/>
          <w:szCs w:val="28"/>
          <w:highlight w:val="none"/>
        </w:rPr>
        <w:t xml:space="preserve">本协议执行情况，接受有管辖权的纪检、监察部门的监督，双方应予以配合检查调查。 </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第六条本协议作为</w:t>
      </w:r>
      <w:r>
        <w:rPr>
          <w:rFonts w:hint="eastAsia" w:ascii="仿宋_GB2312" w:hAnsi="仿宋_GB2312" w:eastAsia="仿宋_GB2312" w:cs="仿宋_GB2312"/>
          <w:b w:val="0"/>
          <w:bCs/>
          <w:color w:val="auto"/>
          <w:sz w:val="28"/>
          <w:szCs w:val="28"/>
          <w:highlight w:val="none"/>
          <w:u w:val="single"/>
          <w:lang w:val="en-US" w:eastAsia="zh-CN"/>
        </w:rPr>
        <w:t xml:space="preserve">               </w:t>
      </w:r>
      <w:r>
        <w:rPr>
          <w:rFonts w:hint="eastAsia" w:ascii="仿宋_GB2312" w:hAnsi="仿宋_GB2312" w:eastAsia="仿宋_GB2312" w:cs="仿宋_GB2312"/>
          <w:b w:val="0"/>
          <w:bCs/>
          <w:color w:val="auto"/>
          <w:sz w:val="28"/>
          <w:szCs w:val="28"/>
          <w:highlight w:val="none"/>
          <w:u w:val="single"/>
          <w:lang w:eastAsia="zh-CN"/>
        </w:rPr>
        <w:t>，</w:t>
      </w:r>
      <w:r>
        <w:rPr>
          <w:rFonts w:hint="eastAsia" w:ascii="仿宋_GB2312" w:hAnsi="仿宋_GB2312" w:eastAsia="仿宋_GB2312" w:cs="仿宋_GB2312"/>
          <w:b w:val="0"/>
          <w:bCs/>
          <w:color w:val="auto"/>
          <w:sz w:val="28"/>
          <w:szCs w:val="28"/>
          <w:highlight w:val="none"/>
          <w:u w:val="single"/>
          <w:lang w:val="en-US" w:eastAsia="zh-CN"/>
        </w:rPr>
        <w:t>穗净水合【    】号</w:t>
      </w:r>
      <w:r>
        <w:rPr>
          <w:rFonts w:hint="eastAsia" w:ascii="宋体" w:hAnsi="宋体"/>
          <w:color w:val="FF0000"/>
          <w:sz w:val="24"/>
          <w:u w:val="single"/>
          <w:lang w:val="en-US" w:eastAsia="zh-CN"/>
        </w:rPr>
        <w:t xml:space="preserve"> </w:t>
      </w:r>
      <w:r>
        <w:rPr>
          <w:rFonts w:hint="eastAsia" w:ascii="仿宋_GB2312" w:hAnsi="仿宋_GB2312" w:eastAsia="仿宋_GB2312" w:cs="仿宋_GB2312"/>
          <w:b w:val="0"/>
          <w:bCs/>
          <w:color w:val="auto"/>
          <w:sz w:val="28"/>
          <w:szCs w:val="28"/>
          <w:highlight w:val="none"/>
        </w:rPr>
        <w:t>合同的附件，并具有同等的法律效力，本协议自双方签字盖章之日起生效，与主合同同时终止。</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第七条本协议一式</w:t>
      </w:r>
      <w:r>
        <w:rPr>
          <w:rFonts w:hint="eastAsia" w:ascii="仿宋_GB2312" w:hAnsi="仿宋_GB2312" w:eastAsia="仿宋_GB2312" w:cs="仿宋_GB2312"/>
          <w:b w:val="0"/>
          <w:bCs/>
          <w:color w:val="auto"/>
          <w:sz w:val="28"/>
          <w:szCs w:val="28"/>
          <w:highlight w:val="none"/>
          <w:u w:val="single"/>
          <w:lang w:val="en-US" w:eastAsia="zh-CN"/>
        </w:rPr>
        <w:t>陆</w:t>
      </w:r>
      <w:r>
        <w:rPr>
          <w:rFonts w:hint="eastAsia" w:ascii="仿宋_GB2312" w:hAnsi="仿宋_GB2312" w:eastAsia="仿宋_GB2312" w:cs="仿宋_GB2312"/>
          <w:b w:val="0"/>
          <w:bCs/>
          <w:color w:val="auto"/>
          <w:sz w:val="28"/>
          <w:szCs w:val="28"/>
          <w:highlight w:val="none"/>
        </w:rPr>
        <w:t>份，甲方</w:t>
      </w:r>
      <w:r>
        <w:rPr>
          <w:rFonts w:hint="eastAsia" w:ascii="仿宋_GB2312" w:hAnsi="仿宋_GB2312" w:eastAsia="仿宋_GB2312" w:cs="仿宋_GB2312"/>
          <w:b w:val="0"/>
          <w:bCs/>
          <w:color w:val="auto"/>
          <w:sz w:val="28"/>
          <w:szCs w:val="28"/>
          <w:highlight w:val="none"/>
          <w:u w:val="single"/>
          <w:lang w:val="en-US" w:eastAsia="zh-CN"/>
        </w:rPr>
        <w:t>肆</w:t>
      </w:r>
      <w:r>
        <w:rPr>
          <w:rFonts w:hint="eastAsia" w:ascii="仿宋_GB2312" w:hAnsi="仿宋_GB2312" w:eastAsia="仿宋_GB2312" w:cs="仿宋_GB2312"/>
          <w:b w:val="0"/>
          <w:bCs/>
          <w:color w:val="auto"/>
          <w:sz w:val="28"/>
          <w:szCs w:val="28"/>
          <w:highlight w:val="none"/>
        </w:rPr>
        <w:t>份，乙方</w:t>
      </w:r>
      <w:r>
        <w:rPr>
          <w:rFonts w:hint="eastAsia" w:ascii="仿宋_GB2312" w:hAnsi="仿宋_GB2312" w:eastAsia="仿宋_GB2312" w:cs="仿宋_GB2312"/>
          <w:b w:val="0"/>
          <w:bCs/>
          <w:color w:val="auto"/>
          <w:sz w:val="28"/>
          <w:szCs w:val="28"/>
          <w:highlight w:val="none"/>
          <w:u w:val="single"/>
          <w:lang w:val="en-US" w:eastAsia="zh-CN"/>
        </w:rPr>
        <w:t>贰</w:t>
      </w:r>
      <w:r>
        <w:rPr>
          <w:rFonts w:hint="eastAsia" w:ascii="仿宋_GB2312" w:hAnsi="仿宋_GB2312" w:eastAsia="仿宋_GB2312" w:cs="仿宋_GB2312"/>
          <w:b w:val="0"/>
          <w:bCs/>
          <w:color w:val="auto"/>
          <w:sz w:val="28"/>
          <w:szCs w:val="28"/>
          <w:highlight w:val="none"/>
        </w:rPr>
        <w:t>份。</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p>
    <w:p>
      <w:pPr>
        <w:keepNext w:val="0"/>
        <w:keepLines w:val="0"/>
        <w:pageBreakBefore w:val="0"/>
        <w:kinsoku/>
        <w:wordWrap/>
        <w:overflowPunct/>
        <w:topLinePunct w:val="0"/>
        <w:autoSpaceDE/>
        <w:autoSpaceDN/>
        <w:bidi w:val="0"/>
        <w:snapToGrid/>
        <w:spacing w:line="520" w:lineRule="exact"/>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甲方（盖章）：                     乙方（盖章）：</w:t>
      </w:r>
    </w:p>
    <w:p>
      <w:pPr>
        <w:keepNext w:val="0"/>
        <w:keepLines w:val="0"/>
        <w:pageBreakBefore w:val="0"/>
        <w:tabs>
          <w:tab w:val="left" w:pos="5100"/>
        </w:tabs>
        <w:kinsoku/>
        <w:wordWrap/>
        <w:overflowPunct/>
        <w:topLinePunct w:val="0"/>
        <w:autoSpaceDE/>
        <w:autoSpaceDN/>
        <w:bidi w:val="0"/>
        <w:snapToGrid/>
        <w:spacing w:line="520" w:lineRule="exact"/>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签约代表：                         签约代表：</w:t>
      </w:r>
    </w:p>
    <w:p>
      <w:pPr>
        <w:tabs>
          <w:tab w:val="left" w:pos="4170"/>
        </w:tabs>
        <w:spacing w:line="360" w:lineRule="auto"/>
        <w:rPr>
          <w:rFonts w:ascii="宋体" w:hAnsi="宋体"/>
          <w:sz w:val="24"/>
        </w:rPr>
      </w:pPr>
      <w:r>
        <w:rPr>
          <w:rFonts w:hint="eastAsia" w:ascii="仿宋_GB2312" w:hAnsi="仿宋_GB2312" w:eastAsia="仿宋_GB2312" w:cs="仿宋_GB2312"/>
          <w:b w:val="0"/>
          <w:bCs/>
          <w:color w:val="auto"/>
          <w:sz w:val="28"/>
          <w:szCs w:val="28"/>
          <w:highlight w:val="none"/>
        </w:rPr>
        <w:t>日期:    年  月  日</w:t>
      </w:r>
      <w:r>
        <w:rPr>
          <w:rFonts w:hint="eastAsia" w:ascii="仿宋_GB2312" w:hAnsi="仿宋_GB2312" w:eastAsia="仿宋_GB2312" w:cs="仿宋_GB2312"/>
          <w:b w:val="0"/>
          <w:bCs/>
          <w:color w:val="auto"/>
          <w:sz w:val="28"/>
          <w:szCs w:val="28"/>
          <w:highlight w:val="none"/>
        </w:rPr>
        <w:tab/>
      </w:r>
      <w:r>
        <w:rPr>
          <w:rFonts w:hint="eastAsia" w:ascii="仿宋_GB2312" w:hAnsi="仿宋_GB2312" w:eastAsia="仿宋_GB2312" w:cs="仿宋_GB2312"/>
          <w:b w:val="0"/>
          <w:bCs/>
          <w:color w:val="auto"/>
          <w:sz w:val="28"/>
          <w:szCs w:val="28"/>
          <w:highlight w:val="none"/>
          <w:lang w:val="en-US" w:eastAsia="zh-CN"/>
        </w:rPr>
        <w:t xml:space="preserve">     </w:t>
      </w:r>
      <w:r>
        <w:rPr>
          <w:rFonts w:hint="eastAsia" w:ascii="仿宋_GB2312" w:hAnsi="仿宋_GB2312" w:eastAsia="仿宋_GB2312" w:cs="仿宋_GB2312"/>
          <w:b w:val="0"/>
          <w:bCs/>
          <w:color w:val="auto"/>
          <w:sz w:val="28"/>
          <w:szCs w:val="28"/>
          <w:highlight w:val="none"/>
        </w:rPr>
        <w:t>日期：  年  月  日</w:t>
      </w: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pStyle w:val="5"/>
        <w:rPr>
          <w:rFonts w:hint="eastAsia" w:ascii="宋体" w:hAnsi="宋体" w:cs="宋体"/>
          <w:b/>
          <w:szCs w:val="21"/>
        </w:rPr>
      </w:pPr>
    </w:p>
    <w:p>
      <w:pPr>
        <w:pStyle w:val="5"/>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ascii="宋体" w:hAnsi="宋体" w:cs="宋体"/>
          <w:b/>
          <w:szCs w:val="21"/>
        </w:rPr>
      </w:pPr>
      <w:r>
        <w:rPr>
          <w:rFonts w:hint="eastAsia" w:ascii="宋体" w:hAnsi="宋体" w:cs="宋体"/>
          <w:b/>
          <w:szCs w:val="21"/>
        </w:rPr>
        <w:t>附件3：营运场所施工安全协议书</w:t>
      </w:r>
    </w:p>
    <w:p>
      <w:pPr>
        <w:spacing w:line="360" w:lineRule="auto"/>
        <w:jc w:val="center"/>
        <w:rPr>
          <w:rFonts w:ascii="宋体" w:hAnsi="宋体" w:cs="宋体"/>
          <w:b/>
          <w:bCs/>
          <w:sz w:val="24"/>
        </w:rPr>
      </w:pPr>
    </w:p>
    <w:p>
      <w:pPr>
        <w:spacing w:line="560" w:lineRule="exact"/>
        <w:jc w:val="center"/>
        <w:rPr>
          <w:rFonts w:ascii="黑体" w:hAnsi="Batang" w:eastAsia="黑体" w:cs="Batang"/>
          <w:bCs/>
          <w:kern w:val="0"/>
          <w:sz w:val="44"/>
          <w:szCs w:val="44"/>
        </w:rPr>
      </w:pPr>
      <w:r>
        <w:rPr>
          <w:rFonts w:hint="eastAsia" w:ascii="黑体" w:hAnsi="Batang" w:eastAsia="黑体" w:cs="Batang"/>
          <w:bCs/>
          <w:kern w:val="0"/>
          <w:sz w:val="44"/>
          <w:szCs w:val="44"/>
        </w:rPr>
        <w:t>营运场所施工安全协议书</w:t>
      </w:r>
    </w:p>
    <w:p>
      <w:pPr>
        <w:spacing w:line="560" w:lineRule="exact"/>
        <w:rPr>
          <w:rFonts w:ascii="仿宋_GB2312" w:hAnsi="宋体" w:eastAsia="仿宋_GB2312"/>
          <w:sz w:val="24"/>
        </w:rPr>
      </w:pPr>
    </w:p>
    <w:p>
      <w:pPr>
        <w:spacing w:line="560" w:lineRule="exact"/>
        <w:rPr>
          <w:rFonts w:ascii="宋体" w:hAnsi="宋体" w:cs="Arial"/>
          <w:kern w:val="0"/>
          <w:sz w:val="24"/>
        </w:rPr>
      </w:pPr>
      <w:r>
        <w:rPr>
          <w:rFonts w:hint="eastAsia" w:ascii="宋体" w:hAnsi="宋体" w:cs="Arial"/>
          <w:kern w:val="0"/>
          <w:sz w:val="24"/>
        </w:rPr>
        <w:t>甲方：</w:t>
      </w:r>
      <w:r>
        <w:rPr>
          <w:rFonts w:hint="eastAsia"/>
          <w:sz w:val="24"/>
        </w:rPr>
        <w:t>广州市净水有限公司</w:t>
      </w:r>
    </w:p>
    <w:p>
      <w:pPr>
        <w:spacing w:line="560" w:lineRule="exact"/>
        <w:rPr>
          <w:rFonts w:ascii="宋体" w:hAnsi="宋体" w:cs="Arial"/>
          <w:kern w:val="0"/>
          <w:sz w:val="24"/>
        </w:rPr>
      </w:pPr>
      <w:r>
        <w:rPr>
          <w:rFonts w:hint="eastAsia" w:ascii="宋体" w:hAnsi="宋体" w:cs="Arial"/>
          <w:kern w:val="0"/>
          <w:sz w:val="24"/>
        </w:rPr>
        <w:t xml:space="preserve">乙方： </w:t>
      </w:r>
    </w:p>
    <w:p>
      <w:pPr>
        <w:spacing w:line="560" w:lineRule="exact"/>
        <w:jc w:val="left"/>
        <w:rPr>
          <w:rStyle w:val="27"/>
          <w:rFonts w:asciiTheme="minorEastAsia" w:hAnsiTheme="minorEastAsia" w:eastAsiaTheme="minorEastAsia"/>
          <w:b w:val="0"/>
          <w:u w:val="single"/>
        </w:rPr>
      </w:pP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根据《中华人民共和国安全生产法》《中华人民共和国建筑法》《建设工程安全生产管理条例》《生产安全事故报告和调查处理条例》《中华人民共和国职业病防治法》《工作场所职业卫生监督管理规定》《用人单位职业健康监护监督管理办法》《广州市职业卫生监督管理规定》等法律法规, 经双方协商，签订本协议书，以明确各自的安全生产、职业卫生责任并共同遵守。</w:t>
      </w:r>
    </w:p>
    <w:p>
      <w:pPr>
        <w:adjustRightInd w:val="0"/>
        <w:snapToGrid w:val="0"/>
        <w:spacing w:line="560" w:lineRule="exact"/>
        <w:ind w:firstLine="482" w:firstLineChars="200"/>
        <w:jc w:val="left"/>
        <w:rPr>
          <w:rFonts w:asciiTheme="minorEastAsia" w:hAnsiTheme="minorEastAsia" w:eastAsiaTheme="minorEastAsia"/>
          <w:b/>
          <w:sz w:val="24"/>
        </w:rPr>
      </w:pPr>
      <w:r>
        <w:rPr>
          <w:rFonts w:hint="eastAsia" w:asciiTheme="minorEastAsia" w:hAnsiTheme="minorEastAsia" w:eastAsiaTheme="minorEastAsia"/>
          <w:b/>
          <w:sz w:val="24"/>
        </w:rPr>
        <w:t>一、本协议与主合同的关系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本协议作为</w:t>
      </w:r>
      <w:r>
        <w:rPr>
          <w:rFonts w:hint="eastAsia" w:asciiTheme="minorEastAsia" w:hAnsiTheme="minorEastAsia" w:eastAsiaTheme="minorEastAsia"/>
          <w:sz w:val="24"/>
          <w:u w:val="single"/>
          <w:lang w:val="en-US" w:eastAsia="zh-CN"/>
        </w:rPr>
        <w:t xml:space="preserve">                </w:t>
      </w:r>
      <w:r>
        <w:rPr>
          <w:rFonts w:hint="eastAsia" w:asciiTheme="minorEastAsia" w:hAnsiTheme="minorEastAsia" w:eastAsiaTheme="minorEastAsia"/>
          <w:sz w:val="24"/>
        </w:rPr>
        <w:t>的组成部分，与主合同具有同等法律效力。</w:t>
      </w:r>
    </w:p>
    <w:p>
      <w:pPr>
        <w:adjustRightInd w:val="0"/>
        <w:snapToGrid w:val="0"/>
        <w:spacing w:line="560" w:lineRule="exact"/>
        <w:ind w:firstLine="482" w:firstLineChars="200"/>
        <w:jc w:val="left"/>
        <w:rPr>
          <w:rFonts w:asciiTheme="minorEastAsia" w:hAnsiTheme="minorEastAsia" w:eastAsiaTheme="minorEastAsia"/>
          <w:b/>
          <w:sz w:val="24"/>
        </w:rPr>
      </w:pPr>
      <w:r>
        <w:rPr>
          <w:rFonts w:asciiTheme="minorEastAsia" w:hAnsiTheme="minorEastAsia" w:eastAsiaTheme="minorEastAsia"/>
          <w:b/>
          <w:sz w:val="24"/>
        </w:rPr>
        <w:t xml:space="preserve"> 二、</w:t>
      </w:r>
      <w:r>
        <w:rPr>
          <w:rFonts w:hint="eastAsia" w:asciiTheme="minorEastAsia" w:hAnsiTheme="minorEastAsia" w:eastAsiaTheme="minorEastAsia"/>
          <w:b/>
          <w:sz w:val="24"/>
        </w:rPr>
        <w:t>甲方权责</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（一）在甲方生产营运场所内施工的，告知乙方该场所已知存在的安全风险，并要求乙方在作业前应重新识别现场的安全风险并采取措施进行管控。</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（二）落实生产营运等相关配合措施，提供必要的施工条件。</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（三）要求乙方遵守的甲方安全管理要求。</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（四）有权对乙方安全措施投入、现场安全施工情况等进行安全监督检查，并提出整改。</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（五）按照《广州市净水有限公司工程项目安全管理规范》等办法对乙方进行施工安全管理评价。</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（六）对于乙方不服从甲方管理，违反安全生产管理规定等违约行为的，甲方有权对乙方采取以下一种或以上的方式处理：</w:t>
      </w:r>
    </w:p>
    <w:p>
      <w:pPr>
        <w:adjustRightInd w:val="0"/>
        <w:snapToGrid w:val="0"/>
        <w:spacing w:line="560" w:lineRule="exact"/>
        <w:ind w:firstLine="480" w:firstLineChars="200"/>
        <w:jc w:val="left"/>
        <w:rPr>
          <w:rFonts w:asciiTheme="minorEastAsia" w:hAnsiTheme="minorEastAsia" w:eastAsiaTheme="minorEastAsia"/>
          <w:sz w:val="24"/>
        </w:rPr>
      </w:pPr>
      <w:r>
        <w:rPr>
          <w:rFonts w:asciiTheme="minorEastAsia" w:hAnsiTheme="minorEastAsia" w:eastAsiaTheme="minorEastAsia"/>
          <w:sz w:val="24"/>
        </w:rPr>
        <w:t>1.</w:t>
      </w:r>
      <w:r>
        <w:rPr>
          <w:rFonts w:hint="eastAsia" w:asciiTheme="minorEastAsia" w:hAnsiTheme="minorEastAsia" w:eastAsiaTheme="minorEastAsia"/>
          <w:sz w:val="24"/>
        </w:rPr>
        <w:t>按主合同相关条款进行经济扣罚；</w:t>
      </w:r>
    </w:p>
    <w:p>
      <w:pPr>
        <w:adjustRightInd w:val="0"/>
        <w:snapToGrid w:val="0"/>
        <w:spacing w:line="560" w:lineRule="exact"/>
        <w:ind w:firstLine="480" w:firstLineChars="200"/>
        <w:jc w:val="left"/>
        <w:rPr>
          <w:rFonts w:asciiTheme="minorEastAsia" w:hAnsiTheme="minorEastAsia" w:eastAsiaTheme="minorEastAsia"/>
          <w:sz w:val="24"/>
        </w:rPr>
      </w:pPr>
      <w:r>
        <w:rPr>
          <w:rFonts w:asciiTheme="minorEastAsia" w:hAnsiTheme="minorEastAsia" w:eastAsiaTheme="minorEastAsia"/>
          <w:sz w:val="24"/>
        </w:rPr>
        <w:t>2.</w:t>
      </w:r>
      <w:r>
        <w:rPr>
          <w:rFonts w:hint="eastAsia" w:asciiTheme="minorEastAsia" w:hAnsiTheme="minorEastAsia" w:eastAsiaTheme="minorEastAsia"/>
          <w:sz w:val="24"/>
        </w:rPr>
        <w:t>根据《广州市水务局关于印发广州市水务工程施工和监理企业诚信评价管理办法的通知》（穗水建设〔2</w:t>
      </w:r>
      <w:r>
        <w:rPr>
          <w:rFonts w:asciiTheme="minorEastAsia" w:hAnsiTheme="minorEastAsia" w:eastAsiaTheme="minorEastAsia"/>
          <w:sz w:val="24"/>
        </w:rPr>
        <w:t>014</w:t>
      </w:r>
      <w:r>
        <w:rPr>
          <w:rFonts w:hint="eastAsia" w:asciiTheme="minorEastAsia" w:hAnsiTheme="minorEastAsia" w:eastAsiaTheme="minorEastAsia"/>
          <w:sz w:val="24"/>
        </w:rPr>
        <w:t>〕1</w:t>
      </w:r>
      <w:r>
        <w:rPr>
          <w:rFonts w:asciiTheme="minorEastAsia" w:hAnsiTheme="minorEastAsia" w:eastAsiaTheme="minorEastAsia"/>
          <w:sz w:val="24"/>
        </w:rPr>
        <w:t>0</w:t>
      </w:r>
      <w:r>
        <w:rPr>
          <w:rFonts w:hint="eastAsia" w:asciiTheme="minorEastAsia" w:hAnsiTheme="minorEastAsia" w:eastAsiaTheme="minorEastAsia"/>
          <w:sz w:val="24"/>
        </w:rPr>
        <w:t>号）、《市净水公司关于印发施工和监理企业诚信评价工作实施办法的通知》（穗净水〔201</w:t>
      </w:r>
      <w:r>
        <w:rPr>
          <w:rFonts w:asciiTheme="minorEastAsia" w:hAnsiTheme="minorEastAsia" w:eastAsiaTheme="minorEastAsia"/>
          <w:sz w:val="24"/>
        </w:rPr>
        <w:t>5</w:t>
      </w:r>
      <w:r>
        <w:rPr>
          <w:rFonts w:hint="eastAsia" w:asciiTheme="minorEastAsia" w:hAnsiTheme="minorEastAsia" w:eastAsiaTheme="minorEastAsia"/>
          <w:sz w:val="24"/>
        </w:rPr>
        <w:t>〕2</w:t>
      </w:r>
      <w:r>
        <w:rPr>
          <w:rFonts w:asciiTheme="minorEastAsia" w:hAnsiTheme="minorEastAsia" w:eastAsiaTheme="minorEastAsia"/>
          <w:sz w:val="24"/>
        </w:rPr>
        <w:t>40</w:t>
      </w:r>
      <w:r>
        <w:rPr>
          <w:rFonts w:hint="eastAsia" w:asciiTheme="minorEastAsia" w:hAnsiTheme="minorEastAsia" w:eastAsiaTheme="minorEastAsia"/>
          <w:sz w:val="24"/>
        </w:rPr>
        <w:t>号），进行诚信扣分（合同期内有新的文件印发的，按照最新的文件执行）；</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3</w:t>
      </w:r>
      <w:r>
        <w:rPr>
          <w:rFonts w:asciiTheme="minorEastAsia" w:hAnsiTheme="minorEastAsia" w:eastAsiaTheme="minorEastAsia"/>
          <w:sz w:val="24"/>
        </w:rPr>
        <w:t>.</w:t>
      </w:r>
      <w:r>
        <w:rPr>
          <w:rFonts w:hint="eastAsia" w:asciiTheme="minorEastAsia" w:hAnsiTheme="minorEastAsia" w:eastAsiaTheme="minorEastAsia"/>
          <w:sz w:val="24"/>
        </w:rPr>
        <w:t>限制投保，或经其他单位承包后以分别方参与项目实施；</w:t>
      </w:r>
    </w:p>
    <w:p>
      <w:pPr>
        <w:adjustRightInd w:val="0"/>
        <w:snapToGrid w:val="0"/>
        <w:spacing w:line="560" w:lineRule="exact"/>
        <w:ind w:firstLine="480" w:firstLineChars="200"/>
        <w:jc w:val="left"/>
        <w:rPr>
          <w:rFonts w:asciiTheme="minorEastAsia" w:hAnsiTheme="minorEastAsia" w:eastAsiaTheme="minorEastAsia"/>
          <w:sz w:val="24"/>
        </w:rPr>
      </w:pPr>
      <w:r>
        <w:rPr>
          <w:rFonts w:asciiTheme="minorEastAsia" w:hAnsiTheme="minorEastAsia" w:eastAsiaTheme="minorEastAsia"/>
          <w:sz w:val="24"/>
        </w:rPr>
        <w:t>4.</w:t>
      </w:r>
      <w:r>
        <w:rPr>
          <w:rFonts w:hint="eastAsia" w:asciiTheme="minorEastAsia" w:hAnsiTheme="minorEastAsia" w:eastAsiaTheme="minorEastAsia"/>
          <w:sz w:val="24"/>
        </w:rPr>
        <w:t>向上级进行反映，包括但不限于广东省市政行业协会、广州市市政公路协会等。</w:t>
      </w:r>
    </w:p>
    <w:p>
      <w:pPr>
        <w:spacing w:line="560" w:lineRule="exact"/>
        <w:ind w:firstLine="480" w:firstLineChars="200"/>
        <w:rPr>
          <w:rFonts w:ascii="宋体" w:hAnsi="宋体" w:cs="Arial"/>
          <w:kern w:val="0"/>
          <w:sz w:val="24"/>
        </w:rPr>
      </w:pPr>
      <w:r>
        <w:rPr>
          <w:rFonts w:hint="eastAsia" w:ascii="宋体" w:hAnsi="宋体" w:cs="Arial"/>
          <w:kern w:val="0"/>
          <w:sz w:val="24"/>
        </w:rPr>
        <w:t>（七）乙方对存在问题拒不整改的，或存在弄虚作假情况的，视为违约，甲方有权按主合同相关条款对乙方进行违约金扣罚。如乙方拒不缴纳违约金的，甲方有权在履约保证金中扣除。</w:t>
      </w:r>
    </w:p>
    <w:p>
      <w:pPr>
        <w:adjustRightInd w:val="0"/>
        <w:snapToGrid w:val="0"/>
        <w:spacing w:line="560" w:lineRule="exact"/>
        <w:ind w:firstLine="482" w:firstLineChars="200"/>
        <w:jc w:val="left"/>
        <w:rPr>
          <w:rFonts w:asciiTheme="minorEastAsia" w:hAnsiTheme="minorEastAsia" w:eastAsiaTheme="minorEastAsia"/>
          <w:b/>
          <w:sz w:val="24"/>
        </w:rPr>
      </w:pPr>
      <w:r>
        <w:rPr>
          <w:rFonts w:hint="eastAsia" w:asciiTheme="minorEastAsia" w:hAnsiTheme="minorEastAsia" w:eastAsiaTheme="minorEastAsia"/>
          <w:b/>
          <w:sz w:val="24"/>
        </w:rPr>
        <w:t>三、乙方权责</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（一）在施工前重新识别现场的安全风险并采取措施进行管控。大型机械设备进场，需提前对设备行走、运输路线进行勘查，确保行走、运输过程中不会造成各种设施的破坏或二次事故。</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（二）严格执行国家、地方和行业主管部门关于施工的强制性标准、地方行政法规、管理要求。</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依法为施工现场作业的人员办理意外伤害保险、购买安全生产责任保险。</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（三）乙方应在合同签订后</w:t>
      </w:r>
      <w:r>
        <w:rPr>
          <w:rFonts w:asciiTheme="minorEastAsia" w:hAnsiTheme="minorEastAsia" w:eastAsiaTheme="minorEastAsia"/>
          <w:sz w:val="24"/>
          <w:u w:val="single"/>
        </w:rPr>
        <w:t xml:space="preserve"> </w:t>
      </w:r>
      <w:r>
        <w:rPr>
          <w:rFonts w:hint="eastAsia" w:asciiTheme="minorEastAsia" w:hAnsiTheme="minorEastAsia" w:eastAsiaTheme="minorEastAsia"/>
          <w:sz w:val="24"/>
          <w:u w:val="single"/>
        </w:rPr>
        <w:t>15</w:t>
      </w:r>
      <w:r>
        <w:rPr>
          <w:rFonts w:asciiTheme="minorEastAsia" w:hAnsiTheme="minorEastAsia" w:eastAsiaTheme="minorEastAsia"/>
          <w:sz w:val="24"/>
          <w:u w:val="single"/>
        </w:rPr>
        <w:t xml:space="preserve"> </w:t>
      </w:r>
      <w:r>
        <w:rPr>
          <w:rFonts w:hint="eastAsia" w:asciiTheme="minorEastAsia" w:hAnsiTheme="minorEastAsia" w:eastAsiaTheme="minorEastAsia"/>
          <w:sz w:val="24"/>
        </w:rPr>
        <w:t>日内制定安全生产文明施工措施费投入使用计划，并提交甲方备案，保证施工安全措施投入。</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（四）严格按照甲方制定的《广州市净水有限公司工程项目安全管理规范》要求，落实各项安全管理工作。</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根据当前国家、行业或甲方近期安全管理的突出方面，或针对项目实际，有针对性地开展安全管理工作，接受甲方的安全管理评价。</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配合甲方的安全监督检查，并立即对提出的问题隐患进行整改。</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（五）落实人员实名制，在签订主合同前提供本项目全体人员已通过三级安全教育及职业健康体检的证明，确保全员没有职业病，禁止有职业禁忌证的人员从事禁忌证相关工作。</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乙方该项目的管理人员、作业人员（包括分包人员）每年由乙方单位依法开展安全生产教育培训，并保存好相关培训证明备查。</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施工过程中，项目管理人员、作业人员（包括分包人员）需进行调整的，必须书面向甲方请示，并获得甲方批准后方可执行变更。</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（六）建立应急管理体系，编制应急预案和现场处置方案，并定期组织开展应急演练。施工现场，乙方应根据施工方案在施工现场配置应急救援物资，并做好应急救援物资的定期检查，确保完好、有效。</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（七）发生突发事件时，应立即报甲方，并同时积极主动地开展应急救援，采取有效措施将事故影响控制在最小范围内。</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（八）严格履行本协议，遵守甲方各项管理规定，服从管理。</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（九）对甲方的违章指挥，拒绝执行，但需书面明确指出甲方所违反的具体法律法规、标准规范等。</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（十）乙方委托的第三方运输单位或个人，违反本协议的，全部责任均由乙方承担。</w:t>
      </w:r>
    </w:p>
    <w:p>
      <w:pPr>
        <w:adjustRightInd w:val="0"/>
        <w:snapToGrid w:val="0"/>
        <w:spacing w:line="560" w:lineRule="exact"/>
        <w:ind w:firstLine="482" w:firstLineChars="200"/>
        <w:jc w:val="left"/>
        <w:rPr>
          <w:rFonts w:hint="eastAsia" w:asciiTheme="minorEastAsia" w:hAnsiTheme="minorEastAsia" w:eastAsiaTheme="minorEastAsia"/>
          <w:b/>
          <w:sz w:val="24"/>
        </w:rPr>
      </w:pPr>
    </w:p>
    <w:p>
      <w:pPr>
        <w:adjustRightInd w:val="0"/>
        <w:snapToGrid w:val="0"/>
        <w:spacing w:line="560" w:lineRule="exact"/>
        <w:ind w:firstLine="482" w:firstLineChars="200"/>
        <w:jc w:val="left"/>
        <w:rPr>
          <w:rFonts w:asciiTheme="minorEastAsia" w:hAnsiTheme="minorEastAsia" w:eastAsiaTheme="minorEastAsia"/>
          <w:b/>
          <w:sz w:val="24"/>
        </w:rPr>
      </w:pPr>
      <w:r>
        <w:rPr>
          <w:rFonts w:hint="eastAsia" w:asciiTheme="minorEastAsia" w:hAnsiTheme="minorEastAsia" w:eastAsiaTheme="minorEastAsia"/>
          <w:b/>
          <w:sz w:val="24"/>
        </w:rPr>
        <w:t>四、事故责任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（一）在乙方承包范围内，由于乙方责任发生生产安全事故时，造成的甲方、乙方或者第三方人身伤害事故，乙方负全部责任。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（二）乙方人员违规进入甲方或第三方承包区域，造成事故的，乙方负全部事故责任；乙方人员遭受人身伤害的，乙方负全部责任。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三）同一生产区域内有两家及以上承包单位的，发生生产安全事故，侵害方负全部责任；共同责任造成的，按事故原因划分责任，不能达成一致的，根据政府有关部门的责任划分承担相应的事故责任和经济责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（四）乙方在甲方生产区域内发生生产安全事故后，必须在第一时间向甲方报告，迟报或者隐瞒不报生产安全事故，承担事故的全部责任。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（五）乙方各类人员在甲方生产区域内发生人身伤害事故和其他事故，乙方应开展调查、处理、统计、上报并向甲方报告，配合甲方及有关部门开展事故调查。</w:t>
      </w:r>
    </w:p>
    <w:p>
      <w:pPr>
        <w:spacing w:line="56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六）乙方造成的事故或造成事故扩大的，乙方须立即开展事故处置，并双倍赔偿甲方的全部损失（包括但不限于甲方的直接经济损失和间接经济损失、为处理事故支出的费用、为恢复正常生产产生的费用、因事故被有关单位追究的经济考核扣罚以及因造成第三方损失而支出的赔偿款、律师费、诉讼费等）。</w:t>
      </w:r>
    </w:p>
    <w:p>
      <w:pPr>
        <w:pStyle w:val="38"/>
        <w:spacing w:line="560" w:lineRule="exact"/>
        <w:ind w:firstLine="482" w:firstLineChars="200"/>
        <w:rPr>
          <w:rFonts w:asciiTheme="minorEastAsia" w:hAnsiTheme="minorEastAsia" w:eastAsiaTheme="minorEastAsia"/>
          <w:sz w:val="24"/>
        </w:rPr>
      </w:pPr>
      <w:r>
        <w:rPr>
          <w:rFonts w:hint="eastAsia" w:asciiTheme="minorEastAsia" w:hAnsiTheme="minorEastAsia" w:eastAsiaTheme="minorEastAsia"/>
          <w:b/>
          <w:sz w:val="24"/>
        </w:rPr>
        <w:t>五、补充条款：</w:t>
      </w:r>
      <w:r>
        <w:rPr>
          <w:rFonts w:asciiTheme="minorEastAsia" w:hAnsiTheme="minorEastAsia" w:eastAsiaTheme="minorEastAsia"/>
          <w:sz w:val="24"/>
          <w:u w:val="single"/>
        </w:rPr>
        <w:t xml:space="preserve">       </w:t>
      </w:r>
      <w:r>
        <w:rPr>
          <w:rFonts w:hint="eastAsia" w:asciiTheme="minorEastAsia" w:hAnsiTheme="minorEastAsia" w:eastAsiaTheme="minorEastAsia"/>
          <w:sz w:val="24"/>
          <w:u w:val="single"/>
          <w:lang w:val="en-US" w:eastAsia="zh-CN"/>
        </w:rPr>
        <w:t>无</w:t>
      </w:r>
      <w:r>
        <w:rPr>
          <w:rFonts w:asciiTheme="minorEastAsia" w:hAnsiTheme="minorEastAsia" w:eastAsiaTheme="minorEastAsia"/>
          <w:sz w:val="24"/>
          <w:u w:val="single"/>
        </w:rPr>
        <w:t xml:space="preserve">          </w:t>
      </w:r>
      <w:r>
        <w:rPr>
          <w:rFonts w:hint="eastAsia" w:asciiTheme="minorEastAsia" w:hAnsiTheme="minorEastAsia" w:eastAsiaTheme="minorEastAsia"/>
          <w:sz w:val="24"/>
        </w:rPr>
        <w:t>。</w:t>
      </w:r>
    </w:p>
    <w:p>
      <w:pPr>
        <w:adjustRightInd w:val="0"/>
        <w:snapToGrid w:val="0"/>
        <w:spacing w:line="560" w:lineRule="exact"/>
        <w:ind w:firstLine="0" w:firstLineChars="0"/>
        <w:jc w:val="left"/>
        <w:rPr>
          <w:rFonts w:hint="eastAsia" w:asciiTheme="minorEastAsia" w:hAnsiTheme="minorEastAsia" w:eastAsiaTheme="minorEastAsia"/>
          <w:b/>
          <w:sz w:val="24"/>
        </w:rPr>
      </w:pPr>
    </w:p>
    <w:p>
      <w:pPr>
        <w:adjustRightInd w:val="0"/>
        <w:snapToGrid w:val="0"/>
        <w:spacing w:line="560" w:lineRule="exact"/>
        <w:ind w:firstLine="482" w:firstLineChars="200"/>
        <w:jc w:val="left"/>
        <w:rPr>
          <w:rFonts w:asciiTheme="minorEastAsia" w:hAnsiTheme="minorEastAsia" w:eastAsiaTheme="minorEastAsia"/>
          <w:b/>
          <w:sz w:val="24"/>
        </w:rPr>
      </w:pPr>
      <w:r>
        <w:rPr>
          <w:rFonts w:hint="eastAsia" w:asciiTheme="minorEastAsia" w:hAnsiTheme="minorEastAsia" w:eastAsiaTheme="minorEastAsia"/>
          <w:b/>
          <w:sz w:val="24"/>
        </w:rPr>
        <w:t>六、附则</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（一）本协议未尽事宜，依据有关法律、法规、规章处理。法律、法规、规章没有明确规定的，经双方协商处理解决。</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（二）本协议与主合同同时签订、同时终止、同时生效，具有相同的法律效力，自甲方、乙方双方签字、盖章生效，甲方、乙方双方执持数量与主合同一致。</w:t>
      </w:r>
    </w:p>
    <w:p>
      <w:pPr>
        <w:adjustRightInd w:val="0"/>
        <w:snapToGrid w:val="0"/>
        <w:spacing w:line="560" w:lineRule="exact"/>
        <w:rPr>
          <w:rFonts w:ascii="仿宋_GB2312" w:eastAsia="仿宋_GB2312" w:hAnsiTheme="minorEastAsia"/>
          <w:sz w:val="24"/>
        </w:rPr>
      </w:pPr>
    </w:p>
    <w:tbl>
      <w:tblPr>
        <w:tblStyle w:val="2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73"/>
        <w:gridCol w:w="44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473" w:type="dxa"/>
          </w:tcPr>
          <w:p>
            <w:pPr>
              <w:adjustRightInd w:val="0"/>
              <w:snapToGrid w:val="0"/>
              <w:spacing w:line="560" w:lineRule="exact"/>
              <w:rPr>
                <w:rFonts w:asciiTheme="minorEastAsia" w:hAnsiTheme="minorEastAsia" w:eastAsiaTheme="minorEastAsia"/>
                <w:sz w:val="24"/>
              </w:rPr>
            </w:pPr>
            <w:r>
              <w:rPr>
                <w:rFonts w:hint="eastAsia" w:asciiTheme="minorEastAsia" w:hAnsiTheme="minorEastAsia" w:eastAsiaTheme="minorEastAsia"/>
                <w:sz w:val="24"/>
              </w:rPr>
              <w:t>甲方：</w:t>
            </w:r>
          </w:p>
          <w:p>
            <w:pPr>
              <w:adjustRightInd w:val="0"/>
              <w:snapToGrid w:val="0"/>
              <w:spacing w:line="560" w:lineRule="exact"/>
              <w:rPr>
                <w:rFonts w:asciiTheme="minorEastAsia" w:hAnsiTheme="minorEastAsia" w:eastAsiaTheme="minorEastAsia"/>
                <w:sz w:val="24"/>
              </w:rPr>
            </w:pPr>
            <w:r>
              <w:rPr>
                <w:rFonts w:hint="eastAsia" w:asciiTheme="minorEastAsia" w:hAnsiTheme="minorEastAsia" w:eastAsiaTheme="minorEastAsia"/>
                <w:sz w:val="24"/>
              </w:rPr>
              <w:t>签约代表：</w:t>
            </w:r>
          </w:p>
          <w:p>
            <w:pPr>
              <w:adjustRightInd w:val="0"/>
              <w:snapToGrid w:val="0"/>
              <w:spacing w:line="560" w:lineRule="exact"/>
              <w:rPr>
                <w:rFonts w:asciiTheme="minorEastAsia" w:hAnsiTheme="minorEastAsia" w:eastAsiaTheme="minorEastAsia"/>
                <w:sz w:val="24"/>
              </w:rPr>
            </w:pPr>
            <w:r>
              <w:rPr>
                <w:rFonts w:hint="eastAsia" w:asciiTheme="minorEastAsia" w:hAnsiTheme="minorEastAsia" w:eastAsiaTheme="minorEastAsia"/>
                <w:sz w:val="24"/>
              </w:rPr>
              <w:t>联系电话：</w:t>
            </w:r>
          </w:p>
          <w:p>
            <w:pPr>
              <w:adjustRightInd w:val="0"/>
              <w:snapToGrid w:val="0"/>
              <w:spacing w:line="560" w:lineRule="exact"/>
              <w:ind w:firstLine="240" w:firstLineChars="100"/>
              <w:jc w:val="right"/>
              <w:rPr>
                <w:rFonts w:asciiTheme="minorEastAsia" w:hAnsiTheme="minorEastAsia" w:eastAsiaTheme="minorEastAsia"/>
                <w:sz w:val="24"/>
              </w:rPr>
            </w:pPr>
            <w:r>
              <w:rPr>
                <w:rFonts w:hint="eastAsia" w:asciiTheme="minorEastAsia" w:hAnsiTheme="minorEastAsia" w:eastAsiaTheme="minorEastAsia"/>
                <w:sz w:val="24"/>
              </w:rPr>
              <w:t>年</w:t>
            </w:r>
            <w:r>
              <w:rPr>
                <w:rFonts w:asciiTheme="minorEastAsia" w:hAnsiTheme="minorEastAsia" w:eastAsiaTheme="minorEastAsia"/>
                <w:sz w:val="24"/>
              </w:rPr>
              <w:t xml:space="preserve">    </w:t>
            </w:r>
            <w:r>
              <w:rPr>
                <w:rFonts w:hint="eastAsia" w:asciiTheme="minorEastAsia" w:hAnsiTheme="minorEastAsia" w:eastAsiaTheme="minorEastAsia"/>
                <w:sz w:val="24"/>
              </w:rPr>
              <w:t>月</w:t>
            </w:r>
            <w:r>
              <w:rPr>
                <w:rFonts w:asciiTheme="minorEastAsia" w:hAnsiTheme="minorEastAsia" w:eastAsiaTheme="minorEastAsia"/>
                <w:sz w:val="24"/>
              </w:rPr>
              <w:t xml:space="preserve">    </w:t>
            </w:r>
            <w:r>
              <w:rPr>
                <w:rFonts w:hint="eastAsia" w:asciiTheme="minorEastAsia" w:hAnsiTheme="minorEastAsia" w:eastAsiaTheme="minorEastAsia"/>
                <w:sz w:val="24"/>
              </w:rPr>
              <w:t>日</w:t>
            </w:r>
          </w:p>
        </w:tc>
        <w:tc>
          <w:tcPr>
            <w:tcW w:w="4474" w:type="dxa"/>
          </w:tcPr>
          <w:p>
            <w:pPr>
              <w:adjustRightInd w:val="0"/>
              <w:snapToGrid w:val="0"/>
              <w:spacing w:line="560" w:lineRule="exact"/>
              <w:rPr>
                <w:rFonts w:ascii="宋体" w:hAnsi="宋体" w:eastAsia="宋体"/>
                <w:sz w:val="24"/>
              </w:rPr>
            </w:pPr>
            <w:r>
              <w:rPr>
                <w:rFonts w:hint="eastAsia" w:ascii="宋体" w:hAnsi="宋体" w:eastAsia="宋体"/>
                <w:sz w:val="24"/>
              </w:rPr>
              <w:t>乙方：</w:t>
            </w:r>
          </w:p>
          <w:p>
            <w:pPr>
              <w:adjustRightInd w:val="0"/>
              <w:snapToGrid w:val="0"/>
              <w:spacing w:line="560" w:lineRule="exact"/>
              <w:rPr>
                <w:rFonts w:ascii="宋体" w:hAnsi="宋体" w:eastAsia="宋体"/>
                <w:sz w:val="24"/>
              </w:rPr>
            </w:pPr>
            <w:r>
              <w:rPr>
                <w:rFonts w:hint="eastAsia" w:ascii="宋体" w:hAnsi="宋体" w:eastAsia="宋体"/>
                <w:sz w:val="24"/>
              </w:rPr>
              <w:t>签约代表：</w:t>
            </w:r>
          </w:p>
          <w:p>
            <w:pPr>
              <w:adjustRightInd w:val="0"/>
              <w:snapToGrid w:val="0"/>
              <w:spacing w:line="560" w:lineRule="exact"/>
              <w:rPr>
                <w:rFonts w:ascii="宋体" w:hAnsi="宋体" w:eastAsia="宋体"/>
                <w:sz w:val="24"/>
              </w:rPr>
            </w:pPr>
            <w:r>
              <w:rPr>
                <w:rFonts w:hint="eastAsia" w:ascii="宋体" w:hAnsi="宋体" w:eastAsia="宋体"/>
                <w:sz w:val="24"/>
              </w:rPr>
              <w:t>联系电话：</w:t>
            </w:r>
          </w:p>
          <w:p>
            <w:pPr>
              <w:adjustRightInd w:val="0"/>
              <w:snapToGrid w:val="0"/>
              <w:spacing w:line="560" w:lineRule="exact"/>
              <w:ind w:firstLine="1440" w:firstLineChars="600"/>
              <w:jc w:val="both"/>
              <w:rPr>
                <w:rFonts w:asciiTheme="minorEastAsia" w:hAnsiTheme="minorEastAsia" w:eastAsiaTheme="minorEastAsia"/>
                <w:sz w:val="24"/>
              </w:rPr>
            </w:pPr>
            <w:r>
              <w:rPr>
                <w:rFonts w:hint="eastAsia" w:asciiTheme="minorEastAsia" w:hAnsiTheme="minorEastAsia" w:eastAsiaTheme="minorEastAsia"/>
                <w:sz w:val="24"/>
              </w:rPr>
              <w:t>年</w:t>
            </w:r>
            <w:r>
              <w:rPr>
                <w:rFonts w:asciiTheme="minorEastAsia" w:hAnsiTheme="minorEastAsia" w:eastAsiaTheme="minorEastAsia"/>
                <w:sz w:val="24"/>
              </w:rPr>
              <w:t xml:space="preserve">    </w:t>
            </w:r>
            <w:r>
              <w:rPr>
                <w:rFonts w:hint="eastAsia" w:asciiTheme="minorEastAsia" w:hAnsiTheme="minorEastAsia" w:eastAsiaTheme="minorEastAsia"/>
                <w:sz w:val="24"/>
              </w:rPr>
              <w:t>月</w:t>
            </w:r>
            <w:r>
              <w:rPr>
                <w:rFonts w:asciiTheme="minorEastAsia" w:hAnsiTheme="minorEastAsia" w:eastAsiaTheme="minorEastAsia"/>
                <w:sz w:val="24"/>
              </w:rPr>
              <w:t xml:space="preserve">    </w:t>
            </w:r>
            <w:r>
              <w:rPr>
                <w:rFonts w:hint="eastAsia" w:asciiTheme="minorEastAsia" w:hAnsiTheme="minorEastAsia" w:eastAsiaTheme="minorEastAsia"/>
                <w:sz w:val="24"/>
              </w:rPr>
              <w:t>日</w:t>
            </w:r>
          </w:p>
        </w:tc>
      </w:tr>
    </w:tbl>
    <w:p>
      <w:pPr>
        <w:spacing w:line="360" w:lineRule="auto"/>
        <w:rPr>
          <w:rFonts w:ascii="宋体" w:hAnsi="宋体" w:cs="宋体"/>
          <w:b/>
          <w:szCs w:val="21"/>
        </w:rPr>
      </w:pPr>
    </w:p>
    <w:p>
      <w:pPr>
        <w:tabs>
          <w:tab w:val="left" w:pos="4170"/>
        </w:tabs>
        <w:spacing w:line="360" w:lineRule="auto"/>
        <w:rPr>
          <w:rFonts w:hint="eastAsia"/>
        </w:rPr>
      </w:pPr>
      <w:r>
        <w:rPr>
          <w:rFonts w:hint="eastAsia" w:ascii="宋体" w:hAnsi="宋体" w:cs="宋体"/>
          <w:b/>
          <w:szCs w:val="21"/>
        </w:rPr>
        <w:t>附件</w:t>
      </w:r>
      <w:r>
        <w:rPr>
          <w:rFonts w:hint="eastAsia" w:ascii="宋体" w:hAnsi="宋体" w:cs="宋体"/>
          <w:b/>
          <w:szCs w:val="21"/>
          <w:lang w:val="en-US" w:eastAsia="zh-CN"/>
        </w:rPr>
        <w:t>4</w:t>
      </w:r>
      <w:r>
        <w:rPr>
          <w:rFonts w:hint="eastAsia" w:ascii="宋体" w:hAnsi="宋体" w:cs="宋体"/>
          <w:b/>
          <w:szCs w:val="21"/>
        </w:rPr>
        <w:t>：</w:t>
      </w:r>
      <w:r>
        <w:rPr>
          <w:rFonts w:hint="eastAsia" w:ascii="宋体" w:hAnsi="宋体" w:cs="宋体"/>
          <w:b/>
          <w:szCs w:val="21"/>
          <w:lang w:val="en-US" w:eastAsia="zh-CN"/>
        </w:rPr>
        <w:t>工程量清单报价（详见响应文件格式清单）</w:t>
      </w:r>
      <w:r>
        <w:rPr>
          <w:rFonts w:hint="eastAsia"/>
        </w:rPr>
        <w:br w:type="page"/>
      </w:r>
    </w:p>
    <w:p>
      <w:pPr>
        <w:shd w:val="clear"/>
        <w:spacing w:line="360" w:lineRule="auto"/>
        <w:rPr>
          <w:rFonts w:hint="eastAsia" w:ascii="宋体" w:hAnsi="宋体" w:cs="宋体" w:eastAsiaTheme="minorEastAsia"/>
          <w:b/>
          <w:bCs/>
          <w:color w:val="auto"/>
          <w:szCs w:val="21"/>
          <w:lang w:val="en-US" w:eastAsia="zh-CN"/>
        </w:rPr>
      </w:pPr>
      <w:r>
        <w:rPr>
          <w:rFonts w:hint="eastAsia" w:ascii="宋体" w:hAnsi="宋体" w:cs="宋体"/>
          <w:b/>
          <w:bCs/>
          <w:color w:val="auto"/>
          <w:szCs w:val="21"/>
        </w:rPr>
        <w:t>附件</w:t>
      </w:r>
      <w:r>
        <w:rPr>
          <w:rFonts w:hint="eastAsia" w:ascii="宋体" w:hAnsi="宋体" w:cs="宋体"/>
          <w:b/>
          <w:bCs/>
          <w:color w:val="auto"/>
          <w:szCs w:val="21"/>
          <w:lang w:val="en-US" w:eastAsia="zh-CN"/>
        </w:rPr>
        <w:t>5</w:t>
      </w:r>
      <w:r>
        <w:rPr>
          <w:rFonts w:hint="eastAsia" w:ascii="宋体" w:hAnsi="宋体" w:cs="宋体"/>
          <w:b/>
          <w:bCs/>
          <w:color w:val="auto"/>
          <w:szCs w:val="21"/>
        </w:rPr>
        <w:t xml:space="preserve"> ：项目投入人员架构表</w:t>
      </w:r>
      <w:r>
        <w:rPr>
          <w:rFonts w:hint="eastAsia" w:ascii="宋体" w:hAnsi="宋体" w:cs="宋体"/>
          <w:b/>
          <w:bCs/>
          <w:color w:val="auto"/>
          <w:szCs w:val="21"/>
          <w:lang w:val="en-US" w:eastAsia="zh-CN"/>
        </w:rPr>
        <w:t>/</w:t>
      </w:r>
      <w:r>
        <w:rPr>
          <w:rFonts w:ascii="宋体" w:hAnsi="宋体" w:eastAsia="宋体" w:cs="宋体"/>
          <w:sz w:val="24"/>
          <w:szCs w:val="24"/>
        </w:rPr>
        <w:t>应急救援物资清单</w:t>
      </w:r>
    </w:p>
    <w:p>
      <w:pPr>
        <w:shd w:val="clear"/>
        <w:spacing w:line="360" w:lineRule="auto"/>
        <w:jc w:val="center"/>
        <w:outlineLvl w:val="3"/>
        <w:rPr>
          <w:rFonts w:ascii="宋体" w:hAnsi="宋体" w:cs="宋体"/>
          <w:b/>
          <w:color w:val="auto"/>
          <w:sz w:val="24"/>
          <w:szCs w:val="24"/>
          <w:highlight w:val="none"/>
        </w:rPr>
      </w:pPr>
      <w:r>
        <w:rPr>
          <w:rFonts w:hint="eastAsia" w:ascii="宋体" w:hAnsi="宋体" w:cs="宋体"/>
          <w:b/>
          <w:color w:val="auto"/>
          <w:sz w:val="24"/>
          <w:szCs w:val="24"/>
          <w:highlight w:val="none"/>
        </w:rPr>
        <w:t>拟投入工程人员配备响应表</w:t>
      </w:r>
    </w:p>
    <w:tbl>
      <w:tblPr>
        <w:tblStyle w:val="24"/>
        <w:tblW w:w="45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1"/>
        <w:gridCol w:w="1006"/>
        <w:gridCol w:w="824"/>
        <w:gridCol w:w="2103"/>
        <w:gridCol w:w="2284"/>
        <w:gridCol w:w="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岗位</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姓名</w:t>
            </w: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性别</w:t>
            </w: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身份证号</w:t>
            </w: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执业或职业资格证明</w:t>
            </w: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项目负责人</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eastAsia="宋体" w:cs="宋体"/>
                <w:color w:val="auto"/>
                <w:sz w:val="24"/>
                <w:szCs w:val="24"/>
                <w:highlight w:val="none"/>
              </w:rPr>
              <w:t>安全员</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lang w:val="en-US" w:eastAsia="zh-CN"/>
              </w:rPr>
              <w:t>现场</w:t>
            </w:r>
            <w:r>
              <w:rPr>
                <w:rFonts w:hint="eastAsia" w:ascii="宋体" w:hAnsi="宋体" w:eastAsia="宋体" w:cs="宋体"/>
                <w:color w:val="auto"/>
                <w:sz w:val="24"/>
                <w:szCs w:val="24"/>
                <w:highlight w:val="none"/>
              </w:rPr>
              <w:t>负责人</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lang w:val="en-US" w:eastAsia="zh-CN"/>
              </w:rPr>
              <w:t>电工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lang w:val="en-US" w:eastAsia="zh-CN"/>
              </w:rPr>
              <w:t>焊工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普工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hint="eastAsia"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普工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hint="eastAsia"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普工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hint="eastAsia"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普工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hint="default"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bl>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 xml:space="preserve">供应商名称（加盖公章）： </w:t>
      </w:r>
    </w:p>
    <w:p>
      <w:pPr>
        <w:pStyle w:val="5"/>
        <w:shd w:val="clear"/>
        <w:ind w:firstLine="6480" w:firstLineChars="2700"/>
        <w:rPr>
          <w:rFonts w:hint="eastAsia" w:ascii="宋体" w:hAnsi="宋体" w:eastAsia="宋体" w:cs="Times New Roman"/>
          <w:b/>
          <w:color w:val="auto"/>
          <w:sz w:val="28"/>
          <w:szCs w:val="28"/>
          <w:highlight w:val="none"/>
          <w:lang w:val="en-US" w:eastAsia="zh-CN"/>
        </w:rPr>
      </w:pPr>
      <w:r>
        <w:rPr>
          <w:rFonts w:hint="eastAsia" w:ascii="宋体" w:hAnsi="宋体" w:eastAsia="宋体" w:cs="宋体"/>
          <w:color w:val="auto"/>
          <w:kern w:val="2"/>
          <w:sz w:val="24"/>
          <w:szCs w:val="24"/>
          <w:highlight w:val="none"/>
          <w:lang w:val="en-GB"/>
        </w:rPr>
        <w:t>年  月  日</w:t>
      </w:r>
    </w:p>
    <w:p>
      <w:pPr>
        <w:spacing w:line="360" w:lineRule="auto"/>
        <w:rPr>
          <w:rFonts w:hint="eastAsia" w:ascii="宋体" w:hAnsi="宋体" w:cs="宋体"/>
          <w:b/>
          <w:bCs/>
          <w:szCs w:val="21"/>
        </w:rPr>
      </w:pPr>
    </w:p>
    <w:p>
      <w:pPr>
        <w:pStyle w:val="9"/>
      </w:pPr>
    </w:p>
    <w:p>
      <w:pPr>
        <w:pStyle w:val="9"/>
        <w:rPr>
          <w:rFonts w:hint="default" w:eastAsiaTheme="minorEastAsia"/>
          <w:lang w:val="en-US" w:eastAsia="zh-CN"/>
        </w:rPr>
      </w:pPr>
      <w:r>
        <w:rPr>
          <w:rFonts w:hint="eastAsia"/>
          <w:lang w:val="en-US" w:eastAsia="zh-CN"/>
        </w:rPr>
        <w:t>附件6</w:t>
      </w:r>
    </w:p>
    <w:tbl>
      <w:tblPr>
        <w:tblStyle w:val="24"/>
        <w:tblpPr w:leftFromText="180" w:rightFromText="180" w:vertAnchor="text" w:horzAnchor="page" w:tblpX="1847" w:tblpY="783"/>
        <w:tblOverlap w:val="never"/>
        <w:tblW w:w="0" w:type="auto"/>
        <w:jc w:val="center"/>
        <w:tblLayout w:type="autofit"/>
        <w:tblCellMar>
          <w:top w:w="0" w:type="dxa"/>
          <w:left w:w="0" w:type="dxa"/>
          <w:bottom w:w="0" w:type="dxa"/>
          <w:right w:w="0" w:type="dxa"/>
        </w:tblCellMar>
      </w:tblPr>
      <w:tblGrid>
        <w:gridCol w:w="344"/>
        <w:gridCol w:w="876"/>
        <w:gridCol w:w="707"/>
        <w:gridCol w:w="2322"/>
        <w:gridCol w:w="1142"/>
        <w:gridCol w:w="1152"/>
        <w:gridCol w:w="1152"/>
        <w:gridCol w:w="1173"/>
      </w:tblGrid>
      <w:tr>
        <w:tblPrEx>
          <w:tblCellMar>
            <w:top w:w="0" w:type="dxa"/>
            <w:left w:w="0" w:type="dxa"/>
            <w:bottom w:w="0" w:type="dxa"/>
            <w:right w:w="0" w:type="dxa"/>
          </w:tblCellMar>
        </w:tblPrEx>
        <w:trPr>
          <w:trHeight w:val="300" w:hRule="atLeast"/>
          <w:jc w:val="center"/>
        </w:trPr>
        <w:tc>
          <w:tcPr>
            <w:tcW w:w="0" w:type="auto"/>
            <w:gridSpan w:val="2"/>
            <w:tcBorders>
              <w:top w:val="nil"/>
              <w:left w:val="nil"/>
              <w:bottom w:val="nil"/>
              <w:right w:val="nil"/>
            </w:tcBorders>
            <w:noWrap/>
            <w:tcMar>
              <w:top w:w="12" w:type="dxa"/>
              <w:left w:w="12" w:type="dxa"/>
              <w:right w:w="12" w:type="dxa"/>
            </w:tcMar>
            <w:vAlign w:val="center"/>
          </w:tcPr>
          <w:p>
            <w:pPr>
              <w:widowControl/>
              <w:jc w:val="left"/>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附件2-1</w:t>
            </w:r>
          </w:p>
        </w:tc>
        <w:tc>
          <w:tcPr>
            <w:tcW w:w="0" w:type="auto"/>
            <w:tcBorders>
              <w:top w:val="nil"/>
              <w:left w:val="nil"/>
              <w:bottom w:val="nil"/>
              <w:right w:val="nil"/>
            </w:tcBorders>
            <w:noWrap/>
            <w:tcMar>
              <w:top w:w="12" w:type="dxa"/>
              <w:left w:w="12" w:type="dxa"/>
              <w:right w:w="12" w:type="dxa"/>
            </w:tcMar>
            <w:vAlign w:val="center"/>
          </w:tcPr>
          <w:p>
            <w:pPr>
              <w:jc w:val="left"/>
              <w:rPr>
                <w:rFonts w:ascii="等线" w:hAnsi="等线" w:eastAsia="等线" w:cs="等线"/>
                <w:color w:val="000000"/>
                <w:sz w:val="16"/>
                <w:szCs w:val="16"/>
              </w:rPr>
            </w:pPr>
          </w:p>
        </w:tc>
        <w:tc>
          <w:tcPr>
            <w:tcW w:w="0" w:type="auto"/>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0" w:type="auto"/>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0" w:type="auto"/>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0" w:type="auto"/>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0" w:type="auto"/>
            <w:tcBorders>
              <w:top w:val="nil"/>
              <w:left w:val="nil"/>
              <w:bottom w:val="nil"/>
              <w:right w:val="nil"/>
            </w:tcBorders>
            <w:noWrap/>
            <w:tcMar>
              <w:top w:w="12" w:type="dxa"/>
              <w:left w:w="12" w:type="dxa"/>
              <w:right w:w="12" w:type="dxa"/>
            </w:tcMar>
            <w:vAlign w:val="center"/>
          </w:tcPr>
          <w:p>
            <w:pPr>
              <w:jc w:val="center"/>
              <w:rPr>
                <w:rFonts w:ascii="等线" w:hAnsi="等线" w:eastAsia="等线" w:cs="等线"/>
                <w:color w:val="000000"/>
                <w:sz w:val="16"/>
                <w:szCs w:val="16"/>
              </w:rPr>
            </w:pPr>
          </w:p>
        </w:tc>
      </w:tr>
      <w:tr>
        <w:tblPrEx>
          <w:tblCellMar>
            <w:top w:w="0" w:type="dxa"/>
            <w:left w:w="0" w:type="dxa"/>
            <w:bottom w:w="0" w:type="dxa"/>
            <w:right w:w="0" w:type="dxa"/>
          </w:tblCellMar>
        </w:tblPrEx>
        <w:trPr>
          <w:trHeight w:val="320" w:hRule="atLeast"/>
          <w:jc w:val="center"/>
        </w:trPr>
        <w:tc>
          <w:tcPr>
            <w:tcW w:w="0" w:type="auto"/>
            <w:gridSpan w:val="8"/>
            <w:tcBorders>
              <w:top w:val="nil"/>
              <w:left w:val="nil"/>
              <w:bottom w:val="nil"/>
              <w:right w:val="nil"/>
            </w:tcBorders>
            <w:noWrap/>
            <w:tcMar>
              <w:top w:w="12" w:type="dxa"/>
              <w:left w:w="12" w:type="dxa"/>
              <w:right w:w="12" w:type="dxa"/>
            </w:tcMar>
            <w:vAlign w:val="center"/>
          </w:tcPr>
          <w:p>
            <w:pPr>
              <w:widowControl/>
              <w:jc w:val="center"/>
              <w:textAlignment w:val="center"/>
              <w:rPr>
                <w:rFonts w:ascii="等线" w:hAnsi="等线" w:eastAsia="等线" w:cs="等线"/>
                <w:b/>
                <w:color w:val="000000"/>
                <w:sz w:val="16"/>
                <w:szCs w:val="16"/>
              </w:rPr>
            </w:pPr>
            <w:r>
              <w:rPr>
                <w:rFonts w:hint="eastAsia" w:ascii="等线" w:hAnsi="等线" w:eastAsia="等线" w:cs="等线"/>
                <w:b/>
                <w:color w:val="000000"/>
                <w:kern w:val="0"/>
                <w:sz w:val="16"/>
                <w:szCs w:val="16"/>
                <w:lang w:bidi="ar"/>
              </w:rPr>
              <w:t>营运项目承包单位日常履约考评参照表（安全）</w:t>
            </w:r>
          </w:p>
        </w:tc>
      </w:tr>
      <w:tr>
        <w:tblPrEx>
          <w:tblCellMar>
            <w:top w:w="0" w:type="dxa"/>
            <w:left w:w="0" w:type="dxa"/>
            <w:bottom w:w="0" w:type="dxa"/>
            <w:right w:w="0" w:type="dxa"/>
          </w:tblCellMar>
        </w:tblPrEx>
        <w:trPr>
          <w:trHeight w:val="100"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序号</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考评项目</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考评分项</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考评内容</w:t>
            </w:r>
          </w:p>
        </w:tc>
        <w:tc>
          <w:tcPr>
            <w:tcW w:w="0" w:type="auto"/>
            <w:gridSpan w:val="4"/>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等线" w:hAnsi="等线" w:eastAsia="等线" w:cs="等线"/>
                <w:color w:val="000000"/>
                <w:sz w:val="16"/>
                <w:szCs w:val="16"/>
              </w:rPr>
            </w:pPr>
          </w:p>
        </w:tc>
      </w:tr>
      <w:tr>
        <w:tblPrEx>
          <w:tblCellMar>
            <w:top w:w="0" w:type="dxa"/>
            <w:left w:w="0" w:type="dxa"/>
            <w:bottom w:w="0" w:type="dxa"/>
            <w:right w:w="0" w:type="dxa"/>
          </w:tblCellMar>
        </w:tblPrEx>
        <w:trPr>
          <w:trHeight w:val="420"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等线" w:hAnsi="等线" w:eastAsia="等线" w:cs="等线"/>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等线" w:hAnsi="等线" w:eastAsia="等线" w:cs="等线"/>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等线" w:hAnsi="等线" w:eastAsia="等线" w:cs="等线"/>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等线" w:hAnsi="等线" w:eastAsia="等线" w:cs="等线"/>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合同金额＜5万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5万≤合同金额＜30万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30万≤合同金额＜100万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合同金额≥100万</w:t>
            </w:r>
          </w:p>
        </w:tc>
      </w:tr>
      <w:tr>
        <w:tblPrEx>
          <w:tblCellMar>
            <w:top w:w="0" w:type="dxa"/>
            <w:left w:w="0" w:type="dxa"/>
            <w:bottom w:w="0" w:type="dxa"/>
            <w:right w:w="0" w:type="dxa"/>
          </w:tblCellMar>
        </w:tblPrEx>
        <w:trPr>
          <w:trHeight w:val="7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安全事故</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事故类型</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发生发生3人及以上重伤或发生1人及以上死亡或直接经济损失达200万元以上的安全生产事故</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按“四不放过”调查后处理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按“四不放过”调查后处理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按“四不放过”调查后处理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按“四不放过”调查后处理</w:t>
            </w:r>
          </w:p>
        </w:tc>
      </w:tr>
      <w:tr>
        <w:tblPrEx>
          <w:tblCellMar>
            <w:top w:w="0" w:type="dxa"/>
            <w:left w:w="0" w:type="dxa"/>
            <w:bottom w:w="0" w:type="dxa"/>
            <w:right w:w="0" w:type="dxa"/>
          </w:tblCellMar>
        </w:tblPrEx>
        <w:trPr>
          <w:trHeight w:val="9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w:t>
            </w: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发生重伤2人安全事故的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扣合同金额的30%～50%；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或1万～2万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扣合同金额的20%～30%；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或2万～4万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扣合同金额的10%～20%；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或4万～8万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扣合同金额的5%～10%;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或8万～12万</w:t>
            </w:r>
          </w:p>
        </w:tc>
      </w:tr>
      <w:tr>
        <w:tblPrEx>
          <w:tblCellMar>
            <w:top w:w="0" w:type="dxa"/>
            <w:left w:w="0" w:type="dxa"/>
            <w:bottom w:w="0" w:type="dxa"/>
            <w:right w:w="0" w:type="dxa"/>
          </w:tblCellMar>
        </w:tblPrEx>
        <w:trPr>
          <w:trHeight w:val="8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3</w:t>
            </w: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发生重伤1人安全事故的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扣合同金额的20%～30%;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或5000～1万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扣合同金额的10%～20%；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或1万～2万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扣合同金额的5%～10%；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或2万～4万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扣合同金额的3%～5%；</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或4万～8万</w:t>
            </w:r>
          </w:p>
        </w:tc>
      </w:tr>
      <w:tr>
        <w:tblPrEx>
          <w:tblCellMar>
            <w:top w:w="0" w:type="dxa"/>
            <w:left w:w="0" w:type="dxa"/>
            <w:bottom w:w="0" w:type="dxa"/>
            <w:right w:w="0" w:type="dxa"/>
          </w:tblCellMar>
        </w:tblPrEx>
        <w:trPr>
          <w:trHeight w:val="6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4</w:t>
            </w: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发生停产、影响环境、破坏公共设施、造成不良影响等事故的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扣合同金额的10%～20%；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或2000～3000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扣合同金额的5%～10%；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或5000～1万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扣合同金额的3%～5%；</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或1万～2万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扣合同金额的1%～2%；</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或2万～4万</w:t>
            </w:r>
          </w:p>
        </w:tc>
      </w:tr>
      <w:tr>
        <w:tblPrEx>
          <w:tblCellMar>
            <w:top w:w="0" w:type="dxa"/>
            <w:left w:w="0" w:type="dxa"/>
            <w:bottom w:w="0" w:type="dxa"/>
            <w:right w:w="0" w:type="dxa"/>
          </w:tblCellMar>
        </w:tblPrEx>
        <w:trPr>
          <w:trHeight w:val="14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5</w:t>
            </w: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事故处理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1.发生事故或事件隐瞒不报的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2.未在1小时内向业主单位上报事故的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3.拒绝、不配合事故事件调查的或事故事件调查提供虚假信息</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4.未按规定和程序组织事故调查和事故处理的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5.未及时处理导致事故扩大的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6.未落实“四不放过”的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扣合同金额的30%～50%；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或1万～2万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扣合同金额的20%～30%；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或2万～4万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扣合同金额的10%～20%；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或4万～8万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扣合同金额的5%～10%;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或8万～12万</w:t>
            </w:r>
          </w:p>
        </w:tc>
      </w:tr>
      <w:tr>
        <w:tblPrEx>
          <w:tblCellMar>
            <w:top w:w="0" w:type="dxa"/>
            <w:left w:w="0" w:type="dxa"/>
            <w:bottom w:w="0" w:type="dxa"/>
            <w:right w:w="0" w:type="dxa"/>
          </w:tblCellMar>
        </w:tblPrEx>
        <w:trPr>
          <w:trHeight w:val="13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6</w:t>
            </w:r>
          </w:p>
        </w:tc>
        <w:tc>
          <w:tcPr>
            <w:tcW w:w="0" w:type="auto"/>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首次备案施工单位须提供的资料</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一般资料</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1.施工人员签名的安全交底表（交底内容由分公司编写），被交底人员应与人员花名册一致</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2.施工单位对施工人员的三级安全教育材料</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3.特殊时期需要增加的资料（如新冠疫情期间，需要增加的人员健康码和行程码资料）</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缺资料扣合同金额的5%或500；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缺资料扣合同金额的2%或2000；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缺资料扣合同金额的1%或4500；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资料有问题扣合同金额的0.4%或2000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缺资料扣合同金额的0.4%或8000；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资料有问题扣合同金额的0.2%或4000</w:t>
            </w:r>
          </w:p>
        </w:tc>
      </w:tr>
      <w:tr>
        <w:tblPrEx>
          <w:tblCellMar>
            <w:top w:w="0" w:type="dxa"/>
            <w:left w:w="0" w:type="dxa"/>
            <w:bottom w:w="0" w:type="dxa"/>
            <w:right w:w="0" w:type="dxa"/>
          </w:tblCellMar>
        </w:tblPrEx>
        <w:trPr>
          <w:trHeight w:val="15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7</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施工方案</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4.施工方案，应满足合同要求，内容至少包括：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施工点介绍</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施工内容（含作业流程、风险分析、施工工艺等）</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施工设备和材料（必要时含构件测试手段等）</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安全措施（根据工程特点、分公司的风险评估和施工单位的施工工艺制定）</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正常施工安全物资（主要是安全防护设备、劳保用品）</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缺施工方案扣合同金额的6%或700；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缺施工方案扣合同金额的3%或3500；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缺施工方案扣合同金额的1.5%或5000；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缺施工方案扣合同金额的0.5%或1万；</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资料有问题扣合同金额的0.3%或5000</w:t>
            </w:r>
          </w:p>
        </w:tc>
      </w:tr>
      <w:tr>
        <w:tblPrEx>
          <w:tblCellMar>
            <w:top w:w="0" w:type="dxa"/>
            <w:left w:w="0" w:type="dxa"/>
            <w:bottom w:w="0" w:type="dxa"/>
            <w:right w:w="0" w:type="dxa"/>
          </w:tblCellMar>
        </w:tblPrEx>
        <w:trPr>
          <w:trHeight w:val="21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8</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应急预案</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5.应急预案，内容至少包括：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现场情况介绍</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风险评估</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应急架构（包括应急主管人员和安全员，以及各应急小组，落实到人和联系方式）</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应急流程</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各种风险情况下的应急措施（根据现场情况、分公司的风险评估制定）</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应急物资清单</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外单位救援力量及联系方式等</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缺应急预案扣合同金额的6%或700；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缺应急预案扣合同金额的3%或3500；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缺应急预案扣合同金额的1.5%或5000；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缺应急预案扣合同金额的0.5%或1万；</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资料有问题扣合同金额的0.3%或5000</w:t>
            </w:r>
          </w:p>
        </w:tc>
      </w:tr>
      <w:tr>
        <w:tblPrEx>
          <w:tblCellMar>
            <w:top w:w="0" w:type="dxa"/>
            <w:left w:w="0" w:type="dxa"/>
            <w:bottom w:w="0" w:type="dxa"/>
            <w:right w:w="0" w:type="dxa"/>
          </w:tblCellMar>
        </w:tblPrEx>
        <w:trPr>
          <w:trHeight w:val="15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9</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安全架构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6.安全架构和相应安全责任制（落实到人和联系方式），可编写入施工方案内，架构人员主要包括：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安全责任人</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施工负责人（可与安全责任人为同一个人）</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安全员</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设备、物资管理人员</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关键岗位人员、特种作业人员</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缺安全架构扣合同金额的10%或2000；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缺少任何一类人员及其职责的扣合同金额的6%或700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缺安全架构扣合同金额的5%或5000；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缺少任何一类人员及其职责的扣合同金额的2%或2000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缺安全架构扣合同金额的2%或1万；</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缺少任何一类人员及其职责的扣合同金额的1%或5000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缺安全架构扣合同金额的1%或2万；</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缺少任何一类人员及其职责的扣合同金额的0.5%或1万</w:t>
            </w:r>
          </w:p>
        </w:tc>
      </w:tr>
      <w:tr>
        <w:tblPrEx>
          <w:tblCellMar>
            <w:top w:w="0" w:type="dxa"/>
            <w:left w:w="0" w:type="dxa"/>
            <w:bottom w:w="0" w:type="dxa"/>
            <w:right w:w="0" w:type="dxa"/>
          </w:tblCellMar>
        </w:tblPrEx>
        <w:trPr>
          <w:trHeight w:val="29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10</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人员资质</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7.施工人员花名册，人员应包含：</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施工负责人（需要施工管理人员资格证书）</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安全员（涉及动火、临时用电、有限空间、高空、抽堵盲板、吊装、动土、断路、设备检修等9大危险作业的，安全员需要有安全员证）</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特种作业人员（附证件号，同时要复印特种作业证，特种作业人数应满足合同要求）</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一般施工人员</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可能需要进入厂区的其他人员（如监理人员、资料员等）</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注：如作业涉及危险作业，作业人员须有作业人员岗前职业病体检和筛选</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缺花名册扣合同金额的5%或500；</w:t>
            </w:r>
          </w:p>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缺特种作业人员或特种作业人员不满足合同要求，扣合同金额的5%或500；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其他人员或资料有缺漏扣合同金额的3%或300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缺花名册扣合同金额的2%或2000；</w:t>
            </w:r>
          </w:p>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缺特种作业人员或特种作业人员不满足合同要求，扣合同金额的2%或2000；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其他人员或资料有缺漏扣合同金额的1%或1000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缺花名册扣合同金额的1%或4500；</w:t>
            </w:r>
          </w:p>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缺特种作业人员或特种作业人员不满足合同要求，扣合同金额的1%或4500；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其他人员或资料有缺漏扣合同金额的0.4%或2000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缺花名册扣合同金额的0.4%或8000；</w:t>
            </w:r>
          </w:p>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缺特种作业人员或特种作业人员不满足合同要求，扣合同金额的0.4%或8000；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其他人员或资料有缺漏扣合同金额的0.2%或4000</w:t>
            </w:r>
          </w:p>
        </w:tc>
      </w:tr>
      <w:tr>
        <w:tblPrEx>
          <w:tblCellMar>
            <w:top w:w="0" w:type="dxa"/>
            <w:left w:w="0" w:type="dxa"/>
            <w:bottom w:w="0" w:type="dxa"/>
            <w:right w:w="0" w:type="dxa"/>
          </w:tblCellMar>
        </w:tblPrEx>
        <w:trPr>
          <w:trHeight w:val="12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11</w:t>
            </w:r>
          </w:p>
        </w:tc>
        <w:tc>
          <w:tcPr>
            <w:tcW w:w="0" w:type="auto"/>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施工现场管理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现场面貌</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1.施工现场未开展有效围蔽</w:t>
            </w:r>
          </w:p>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2.无七牌一图或有缺漏（七牌：工程概况牌：管理人员名单及监督电话牌、现场事故应急救援预案公示牌、安全生产牌、文明施工牌、消防保卫牌、环境保护牌；一图：施工现场平面图）</w:t>
            </w:r>
          </w:p>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3.现场无危险源公示、告知及相应警示</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4.材料堆放存在重大隐患</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扣合同金额的6%或700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扣合同金额的1.5%或5000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扣合同金额的0.5%或1万</w:t>
            </w:r>
          </w:p>
        </w:tc>
      </w:tr>
      <w:tr>
        <w:tblPrEx>
          <w:tblCellMar>
            <w:top w:w="0" w:type="dxa"/>
            <w:left w:w="0" w:type="dxa"/>
            <w:bottom w:w="0" w:type="dxa"/>
            <w:right w:w="0" w:type="dxa"/>
          </w:tblCellMar>
        </w:tblPrEx>
        <w:trPr>
          <w:trHeight w:val="7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12</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1.现场未按施工方案落实安全防范措施的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2.危险作业未经业主人员审批先行施工的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3.未按施工方案施工的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扣合同金额的10%或2000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扣合同金额的5%或5000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扣合同金额的2%或1万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扣合同金额的1%或2万</w:t>
            </w:r>
          </w:p>
        </w:tc>
      </w:tr>
      <w:tr>
        <w:tblPrEx>
          <w:tblCellMar>
            <w:top w:w="0" w:type="dxa"/>
            <w:left w:w="0" w:type="dxa"/>
            <w:bottom w:w="0" w:type="dxa"/>
            <w:right w:w="0" w:type="dxa"/>
          </w:tblCellMar>
        </w:tblPrEx>
        <w:trPr>
          <w:trHeight w:val="9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13</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每日安全交底</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1.缺少书面交底、未留存书面资料或交底资料缺少交底人、被交底人及安全员签字的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2.内容未结合当天的现场状况、特点、工序，对危险因素、施工内容、安全作业和应急措施进行交底的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扣合同金额的0.3%或5000</w:t>
            </w:r>
          </w:p>
        </w:tc>
      </w:tr>
      <w:tr>
        <w:tblPrEx>
          <w:tblCellMar>
            <w:top w:w="0" w:type="dxa"/>
            <w:left w:w="0" w:type="dxa"/>
            <w:bottom w:w="0" w:type="dxa"/>
            <w:right w:w="0" w:type="dxa"/>
          </w:tblCellMar>
        </w:tblPrEx>
        <w:trPr>
          <w:trHeight w:val="9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14</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作业行为管理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1.违反9大危险作业相关作业规范的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2.现场存在违章作业、违章指挥等违反相关安全管理规定或制度的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3.人员错误使用劳保用品3次以上的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扣合同金额的6%或700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扣合同金额的1.5%或5000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扣合同金额的0.5%或1万</w:t>
            </w:r>
          </w:p>
        </w:tc>
      </w:tr>
      <w:tr>
        <w:tblPrEx>
          <w:tblCellMar>
            <w:top w:w="0" w:type="dxa"/>
            <w:left w:w="0" w:type="dxa"/>
            <w:bottom w:w="0" w:type="dxa"/>
            <w:right w:w="0" w:type="dxa"/>
          </w:tblCellMar>
        </w:tblPrEx>
        <w:trPr>
          <w:trHeight w:val="6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15</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安全记录</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未按施工要求开展现场记录或记录内容有缺失</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扣合同金额的0.3%或5000</w:t>
            </w:r>
          </w:p>
        </w:tc>
      </w:tr>
      <w:tr>
        <w:tblPrEx>
          <w:tblCellMar>
            <w:top w:w="0" w:type="dxa"/>
            <w:left w:w="0" w:type="dxa"/>
            <w:bottom w:w="0" w:type="dxa"/>
            <w:right w:w="0" w:type="dxa"/>
          </w:tblCellMar>
        </w:tblPrEx>
        <w:trPr>
          <w:trHeight w:val="7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16</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应急管理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1.未设置应急物资点，未统一存放应急物资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2.应急物资点无应急物资清单或无应急物资每日检查表</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3.无开展日常应急培训、训练、演练或无资料留档的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扣合同金额的0.3%或5000</w:t>
            </w:r>
          </w:p>
        </w:tc>
      </w:tr>
      <w:tr>
        <w:tblPrEx>
          <w:tblCellMar>
            <w:top w:w="0" w:type="dxa"/>
            <w:left w:w="0" w:type="dxa"/>
            <w:bottom w:w="0" w:type="dxa"/>
            <w:right w:w="0" w:type="dxa"/>
          </w:tblCellMar>
        </w:tblPrEx>
        <w:trPr>
          <w:trHeight w:val="7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17</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人员变更无完善的手续及资料的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扣合同金额的0.3%或5000</w:t>
            </w:r>
          </w:p>
        </w:tc>
      </w:tr>
      <w:tr>
        <w:tblPrEx>
          <w:tblCellMar>
            <w:top w:w="0" w:type="dxa"/>
            <w:left w:w="0" w:type="dxa"/>
            <w:bottom w:w="0" w:type="dxa"/>
            <w:right w:w="0" w:type="dxa"/>
          </w:tblCellMar>
        </w:tblPrEx>
        <w:trPr>
          <w:trHeight w:val="5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18</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隐患管理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未及时对发现的隐患开展整改的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扣合同金额的5%或500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扣合同金额的2%或2000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扣合同金额的1%或4500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扣合同金额的0.4%或8000</w:t>
            </w:r>
          </w:p>
        </w:tc>
      </w:tr>
      <w:tr>
        <w:tblPrEx>
          <w:tblCellMar>
            <w:top w:w="0" w:type="dxa"/>
            <w:left w:w="0" w:type="dxa"/>
            <w:bottom w:w="0" w:type="dxa"/>
            <w:right w:w="0" w:type="dxa"/>
          </w:tblCellMar>
        </w:tblPrEx>
        <w:trPr>
          <w:trHeight w:val="6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19</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违反业主或上级主管部门提出的其他管理要求、文件、规定或拒不执行的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扣合同金额的3%～5%；</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或300～500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扣合同金额的1%～2%；</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或1000～2000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扣合同金额的0.5%～1%；</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或2500～4500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扣合同金额的0.3%～0.4%；</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或5000～8000</w:t>
            </w:r>
          </w:p>
        </w:tc>
      </w:tr>
      <w:tr>
        <w:tblPrEx>
          <w:tblCellMar>
            <w:top w:w="0" w:type="dxa"/>
            <w:left w:w="0" w:type="dxa"/>
            <w:bottom w:w="0" w:type="dxa"/>
            <w:right w:w="0" w:type="dxa"/>
          </w:tblCellMar>
        </w:tblPrEx>
        <w:trPr>
          <w:trHeight w:val="4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20</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280" w:hRule="atLeast"/>
          <w:jc w:val="center"/>
        </w:trPr>
        <w:tc>
          <w:tcPr>
            <w:tcW w:w="0" w:type="auto"/>
            <w:gridSpan w:val="8"/>
            <w:tcBorders>
              <w:top w:val="nil"/>
              <w:left w:val="nil"/>
              <w:bottom w:val="nil"/>
              <w:right w:val="nil"/>
            </w:tcBorders>
            <w:tcMar>
              <w:top w:w="12" w:type="dxa"/>
              <w:left w:w="12" w:type="dxa"/>
              <w:right w:w="12" w:type="dxa"/>
            </w:tcMar>
            <w:vAlign w:val="center"/>
          </w:tcPr>
          <w:p>
            <w:pPr>
              <w:widowControl/>
              <w:jc w:val="left"/>
              <w:textAlignment w:val="center"/>
              <w:rPr>
                <w:sz w:val="13"/>
                <w:szCs w:val="13"/>
              </w:rPr>
            </w:pPr>
            <w:r>
              <w:rPr>
                <w:rFonts w:hint="eastAsia"/>
                <w:sz w:val="13"/>
                <w:szCs w:val="13"/>
              </w:rPr>
              <w:t>注：1、与安全管理相关的考评内容具体考评标准内容参照广州市净水有限公司标准《工程项目安全管理规范》（Q/GZJSA 1-2021）执行。</w:t>
            </w:r>
          </w:p>
          <w:p>
            <w:r>
              <w:rPr>
                <w:rFonts w:hint="eastAsia" w:ascii="仿宋_GB2312" w:hAnsi="仿宋_GB2312" w:eastAsia="仿宋_GB2312" w:cs="仿宋_GB2312"/>
                <w:color w:val="000000"/>
                <w:sz w:val="13"/>
                <w:szCs w:val="13"/>
              </w:rPr>
              <w:t>2.本处理标准出自《</w:t>
            </w:r>
            <w:r>
              <w:rPr>
                <w:rFonts w:hint="eastAsia" w:ascii="宋体" w:hAnsi="宋体" w:cs="宋体"/>
                <w:color w:val="000000"/>
                <w:sz w:val="13"/>
                <w:szCs w:val="13"/>
              </w:rPr>
              <w:t>广州净水公司工程项目承包单位质量安全考评细则（试行）</w:t>
            </w:r>
            <w:r>
              <w:rPr>
                <w:rFonts w:hint="eastAsia" w:ascii="仿宋_GB2312" w:hAnsi="仿宋_GB2312" w:eastAsia="仿宋_GB2312" w:cs="仿宋_GB2312"/>
                <w:color w:val="000000"/>
                <w:sz w:val="13"/>
                <w:szCs w:val="13"/>
              </w:rPr>
              <w:t>》。</w:t>
            </w:r>
          </w:p>
          <w:p>
            <w:pPr>
              <w:pStyle w:val="23"/>
              <w:ind w:firstLine="1126"/>
              <w:rPr>
                <w:rFonts w:hint="default" w:eastAsia="仿宋_GB2312"/>
                <w:lang w:val="en-US" w:eastAsia="zh-CN"/>
              </w:rPr>
            </w:pPr>
          </w:p>
        </w:tc>
      </w:tr>
    </w:tbl>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default" w:eastAsia="宋体"/>
          <w:lang w:val="en-US" w:eastAsia="zh-CN"/>
        </w:rPr>
      </w:pPr>
      <w:r>
        <w:rPr>
          <w:rFonts w:hint="eastAsia"/>
          <w:lang w:val="en-US" w:eastAsia="zh-CN"/>
        </w:rPr>
        <w:t>附件7</w:t>
      </w:r>
    </w:p>
    <w:tbl>
      <w:tblPr>
        <w:tblStyle w:val="24"/>
        <w:tblW w:w="9300" w:type="dxa"/>
        <w:jc w:val="center"/>
        <w:tblLayout w:type="autofit"/>
        <w:tblCellMar>
          <w:top w:w="0" w:type="dxa"/>
          <w:left w:w="0" w:type="dxa"/>
          <w:bottom w:w="0" w:type="dxa"/>
          <w:right w:w="0" w:type="dxa"/>
        </w:tblCellMar>
      </w:tblPr>
      <w:tblGrid>
        <w:gridCol w:w="344"/>
        <w:gridCol w:w="454"/>
        <w:gridCol w:w="495"/>
        <w:gridCol w:w="3993"/>
        <w:gridCol w:w="1091"/>
        <w:gridCol w:w="757"/>
        <w:gridCol w:w="757"/>
        <w:gridCol w:w="757"/>
        <w:gridCol w:w="757"/>
        <w:gridCol w:w="756"/>
      </w:tblGrid>
      <w:tr>
        <w:tblPrEx>
          <w:tblCellMar>
            <w:top w:w="0" w:type="dxa"/>
            <w:left w:w="0" w:type="dxa"/>
            <w:bottom w:w="0" w:type="dxa"/>
            <w:right w:w="0" w:type="dxa"/>
          </w:tblCellMar>
        </w:tblPrEx>
        <w:trPr>
          <w:trHeight w:val="300" w:hRule="atLeast"/>
          <w:jc w:val="center"/>
        </w:trPr>
        <w:tc>
          <w:tcPr>
            <w:tcW w:w="798" w:type="dxa"/>
            <w:gridSpan w:val="2"/>
            <w:tcBorders>
              <w:top w:val="nil"/>
              <w:left w:val="nil"/>
              <w:bottom w:val="nil"/>
              <w:right w:val="nil"/>
            </w:tcBorders>
            <w:noWrap/>
            <w:tcMar>
              <w:top w:w="12" w:type="dxa"/>
              <w:left w:w="12" w:type="dxa"/>
              <w:right w:w="12" w:type="dxa"/>
            </w:tcMar>
            <w:vAlign w:val="center"/>
          </w:tcPr>
          <w:p>
            <w:pPr>
              <w:widowControl/>
              <w:jc w:val="left"/>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附件2-2</w:t>
            </w:r>
          </w:p>
        </w:tc>
        <w:tc>
          <w:tcPr>
            <w:tcW w:w="495" w:type="dxa"/>
            <w:tcBorders>
              <w:top w:val="nil"/>
              <w:left w:val="nil"/>
              <w:bottom w:val="nil"/>
              <w:right w:val="nil"/>
            </w:tcBorders>
            <w:noWrap/>
            <w:tcMar>
              <w:top w:w="12" w:type="dxa"/>
              <w:left w:w="12" w:type="dxa"/>
              <w:right w:w="12" w:type="dxa"/>
            </w:tcMar>
            <w:vAlign w:val="center"/>
          </w:tcPr>
          <w:p>
            <w:pPr>
              <w:jc w:val="left"/>
              <w:rPr>
                <w:rFonts w:ascii="等线" w:hAnsi="等线" w:eastAsia="等线" w:cs="等线"/>
                <w:color w:val="000000"/>
                <w:sz w:val="16"/>
                <w:szCs w:val="16"/>
              </w:rPr>
            </w:pPr>
          </w:p>
        </w:tc>
        <w:tc>
          <w:tcPr>
            <w:tcW w:w="3993"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1091"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585"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585"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585"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585"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585"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r>
      <w:tr>
        <w:tblPrEx>
          <w:tblCellMar>
            <w:top w:w="0" w:type="dxa"/>
            <w:left w:w="0" w:type="dxa"/>
            <w:bottom w:w="0" w:type="dxa"/>
            <w:right w:w="0" w:type="dxa"/>
          </w:tblCellMar>
        </w:tblPrEx>
        <w:trPr>
          <w:trHeight w:val="320" w:hRule="atLeast"/>
          <w:jc w:val="center"/>
        </w:trPr>
        <w:tc>
          <w:tcPr>
            <w:tcW w:w="0" w:type="auto"/>
            <w:gridSpan w:val="10"/>
            <w:tcBorders>
              <w:top w:val="nil"/>
              <w:left w:val="nil"/>
              <w:bottom w:val="nil"/>
              <w:right w:val="nil"/>
            </w:tcBorders>
            <w:noWrap/>
            <w:tcMar>
              <w:top w:w="12" w:type="dxa"/>
              <w:left w:w="12" w:type="dxa"/>
              <w:right w:w="12" w:type="dxa"/>
            </w:tcMar>
            <w:vAlign w:val="center"/>
          </w:tcPr>
          <w:p>
            <w:pPr>
              <w:widowControl/>
              <w:jc w:val="center"/>
              <w:textAlignment w:val="center"/>
              <w:rPr>
                <w:rFonts w:ascii="等线" w:hAnsi="等线" w:eastAsia="等线" w:cs="等线"/>
                <w:b/>
                <w:color w:val="000000"/>
                <w:sz w:val="16"/>
                <w:szCs w:val="16"/>
              </w:rPr>
            </w:pPr>
            <w:r>
              <w:rPr>
                <w:rFonts w:hint="eastAsia" w:ascii="等线" w:hAnsi="等线" w:eastAsia="等线" w:cs="等线"/>
                <w:b/>
                <w:color w:val="000000"/>
                <w:kern w:val="0"/>
                <w:sz w:val="16"/>
                <w:szCs w:val="16"/>
                <w:lang w:bidi="ar"/>
              </w:rPr>
              <w:t>营运项目承包单位综合履约考评表（安全）</w:t>
            </w:r>
          </w:p>
        </w:tc>
      </w:tr>
      <w:tr>
        <w:tblPrEx>
          <w:tblCellMar>
            <w:top w:w="0" w:type="dxa"/>
            <w:left w:w="0" w:type="dxa"/>
            <w:bottom w:w="0" w:type="dxa"/>
            <w:right w:w="0" w:type="dxa"/>
          </w:tblCellMar>
        </w:tblPrEx>
        <w:trPr>
          <w:trHeight w:val="380" w:hRule="atLeast"/>
          <w:jc w:val="center"/>
        </w:trPr>
        <w:tc>
          <w:tcPr>
            <w:tcW w:w="0" w:type="auto"/>
            <w:gridSpan w:val="4"/>
            <w:tcBorders>
              <w:top w:val="nil"/>
              <w:left w:val="nil"/>
              <w:bottom w:val="nil"/>
              <w:right w:val="nil"/>
            </w:tcBorders>
            <w:noWrap/>
            <w:tcMar>
              <w:top w:w="12" w:type="dxa"/>
              <w:left w:w="12" w:type="dxa"/>
              <w:right w:w="12" w:type="dxa"/>
            </w:tcMar>
            <w:vAlign w:val="center"/>
          </w:tcPr>
          <w:p>
            <w:pPr>
              <w:widowControl/>
              <w:jc w:val="left"/>
              <w:textAlignment w:val="center"/>
              <w:rPr>
                <w:rFonts w:ascii="等线" w:hAnsi="等线" w:eastAsia="等线" w:cs="等线"/>
                <w:b/>
                <w:color w:val="000000"/>
                <w:sz w:val="16"/>
                <w:szCs w:val="16"/>
              </w:rPr>
            </w:pPr>
            <w:r>
              <w:rPr>
                <w:rFonts w:hint="eastAsia" w:ascii="等线" w:hAnsi="等线" w:eastAsia="等线" w:cs="等线"/>
                <w:b/>
                <w:color w:val="000000"/>
                <w:kern w:val="0"/>
                <w:sz w:val="16"/>
                <w:szCs w:val="16"/>
                <w:lang w:bidi="ar"/>
              </w:rPr>
              <w:t>项目名称：</w:t>
            </w:r>
          </w:p>
        </w:tc>
        <w:tc>
          <w:tcPr>
            <w:tcW w:w="0" w:type="auto"/>
            <w:tcBorders>
              <w:top w:val="nil"/>
              <w:left w:val="nil"/>
              <w:bottom w:val="nil"/>
              <w:right w:val="nil"/>
            </w:tcBorders>
            <w:noWrap/>
            <w:tcMar>
              <w:top w:w="12" w:type="dxa"/>
              <w:left w:w="12" w:type="dxa"/>
              <w:right w:w="12" w:type="dxa"/>
            </w:tcMar>
            <w:vAlign w:val="center"/>
          </w:tcPr>
          <w:p>
            <w:pPr>
              <w:jc w:val="center"/>
              <w:rPr>
                <w:rFonts w:ascii="等线" w:hAnsi="等线" w:eastAsia="等线" w:cs="等线"/>
                <w:b/>
                <w:color w:val="000000"/>
                <w:sz w:val="16"/>
                <w:szCs w:val="16"/>
              </w:rPr>
            </w:pPr>
          </w:p>
        </w:tc>
        <w:tc>
          <w:tcPr>
            <w:tcW w:w="0" w:type="auto"/>
            <w:gridSpan w:val="5"/>
            <w:tcBorders>
              <w:top w:val="nil"/>
              <w:left w:val="nil"/>
              <w:bottom w:val="nil"/>
              <w:right w:val="nil"/>
            </w:tcBorders>
            <w:noWrap/>
            <w:tcMar>
              <w:top w:w="12" w:type="dxa"/>
              <w:left w:w="12" w:type="dxa"/>
              <w:right w:w="12" w:type="dxa"/>
            </w:tcMar>
            <w:vAlign w:val="center"/>
          </w:tcPr>
          <w:p>
            <w:pPr>
              <w:widowControl/>
              <w:jc w:val="left"/>
              <w:textAlignment w:val="center"/>
              <w:rPr>
                <w:rFonts w:ascii="等线" w:hAnsi="等线" w:eastAsia="等线" w:cs="等线"/>
                <w:b/>
                <w:color w:val="000000"/>
                <w:sz w:val="16"/>
                <w:szCs w:val="16"/>
              </w:rPr>
            </w:pPr>
            <w:r>
              <w:rPr>
                <w:rFonts w:hint="eastAsia" w:ascii="等线" w:hAnsi="等线" w:eastAsia="等线" w:cs="等线"/>
                <w:b/>
                <w:color w:val="000000"/>
                <w:kern w:val="0"/>
                <w:sz w:val="16"/>
                <w:szCs w:val="16"/>
                <w:lang w:bidi="ar"/>
              </w:rPr>
              <w:t>综合考评日期：           年        月        日</w:t>
            </w:r>
          </w:p>
        </w:tc>
      </w:tr>
      <w:tr>
        <w:tblPrEx>
          <w:tblCellMar>
            <w:top w:w="0" w:type="dxa"/>
            <w:left w:w="0" w:type="dxa"/>
            <w:bottom w:w="0" w:type="dxa"/>
            <w:right w:w="0" w:type="dxa"/>
          </w:tblCellMar>
        </w:tblPrEx>
        <w:trPr>
          <w:trHeight w:val="380"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序号</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考评项目</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考评分项</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考评内容</w:t>
            </w:r>
          </w:p>
        </w:tc>
        <w:tc>
          <w:tcPr>
            <w:tcW w:w="1091"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考评标准</w:t>
            </w:r>
          </w:p>
        </w:tc>
        <w:tc>
          <w:tcPr>
            <w:tcW w:w="58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监理单位考评</w:t>
            </w:r>
          </w:p>
        </w:tc>
        <w:tc>
          <w:tcPr>
            <w:tcW w:w="58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分公司考评</w:t>
            </w:r>
          </w:p>
        </w:tc>
        <w:tc>
          <w:tcPr>
            <w:tcW w:w="1170" w:type="dxa"/>
            <w:gridSpan w:val="2"/>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公司考评</w:t>
            </w:r>
          </w:p>
        </w:tc>
        <w:tc>
          <w:tcPr>
            <w:tcW w:w="58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综合考评</w:t>
            </w:r>
          </w:p>
        </w:tc>
      </w:tr>
      <w:tr>
        <w:tblPrEx>
          <w:tblCellMar>
            <w:top w:w="0" w:type="dxa"/>
            <w:left w:w="0" w:type="dxa"/>
            <w:bottom w:w="0" w:type="dxa"/>
            <w:right w:w="0" w:type="dxa"/>
          </w:tblCellMar>
        </w:tblPrEx>
        <w:trPr>
          <w:trHeight w:val="380"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1091"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58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58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业务主管部门</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安全管理部门</w:t>
            </w:r>
          </w:p>
        </w:tc>
        <w:tc>
          <w:tcPr>
            <w:tcW w:w="58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300" w:hRule="atLeast"/>
          <w:jc w:val="center"/>
        </w:trPr>
        <w:tc>
          <w:tcPr>
            <w:tcW w:w="0" w:type="auto"/>
            <w:gridSpan w:val="10"/>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一、加分部分</w:t>
            </w:r>
          </w:p>
        </w:tc>
      </w:tr>
      <w:tr>
        <w:tblPrEx>
          <w:tblCellMar>
            <w:top w:w="0" w:type="dxa"/>
            <w:left w:w="0" w:type="dxa"/>
            <w:bottom w:w="0" w:type="dxa"/>
            <w:right w:w="0" w:type="dxa"/>
          </w:tblCellMar>
        </w:tblPrEx>
        <w:trPr>
          <w:trHeight w:val="5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w:t>
            </w:r>
          </w:p>
        </w:tc>
        <w:tc>
          <w:tcPr>
            <w:tcW w:w="990" w:type="dxa"/>
            <w:gridSpan w:val="2"/>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综合管理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受到业主单位或上级管理部门通报表扬的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加5～10分/项，可叠加</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5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w:t>
            </w:r>
          </w:p>
        </w:tc>
        <w:tc>
          <w:tcPr>
            <w:tcW w:w="990" w:type="dxa"/>
            <w:gridSpan w:val="2"/>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现场管理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积极配合业主单位做好安全工作及相关宣传教育，积极主动排查隐患的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加5分/项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260" w:hRule="atLeast"/>
          <w:jc w:val="center"/>
        </w:trPr>
        <w:tc>
          <w:tcPr>
            <w:tcW w:w="0" w:type="auto"/>
            <w:gridSpan w:val="10"/>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二、扣分部分</w:t>
            </w:r>
          </w:p>
        </w:tc>
      </w:tr>
      <w:tr>
        <w:tblPrEx>
          <w:tblCellMar>
            <w:top w:w="0" w:type="dxa"/>
            <w:left w:w="0" w:type="dxa"/>
            <w:bottom w:w="0" w:type="dxa"/>
            <w:right w:w="0" w:type="dxa"/>
          </w:tblCellMar>
        </w:tblPrEx>
        <w:trPr>
          <w:trHeight w:val="9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3</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安全事故</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事故类型</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发生重伤1人及以上安全事故，或直接经济损失达200万元以上的安全生产事故</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扣100分/项，同时3年内禁止来我公司投标</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7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6</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发生停产、影响环境、破坏公共设施、造成不良影响等事故的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扣40分/项，可叠加，到达100分，3年内禁止来我公司投标</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4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7</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事故处理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1.发生事故或事件隐瞒不报的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2.未在1小时内向业主单位上报事故的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3.拒绝、不配合事故事件调查的或事故事件调查提供虚假信息</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4.未按规定和程序组织事故调查和事故处理的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5.未及时处理导致事故扩大的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6.未落实“四不放过”的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扣100分/项，同时3年内禁止来我公司投标</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2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8</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首次备案施工单位须提供的资料</w:t>
            </w: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一般资料</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1.施工人员签名的安全交底表（交底内容由分公司编写），被交底人员应与人员花名册一致</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2.施工单位对施工人员的三级安全教育材料</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3.特殊时期需要增加的资料（如新冠疫情期间，需要增加的人员健康码和行程码资料）</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缺资料扣3～5分/项；</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资料有问题扣1～3分/项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3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9</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施工方案</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4.施工方案，应满足合同要求，内容至少包括：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施工点介绍</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施工内容（含作业流程、风险分析、施工工艺等）</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施工设备和材料（必要时含构件测试手段等）</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安全措施（根据工程特点、分公司的风险评估和施工单位的施工工艺制定）</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正常施工安全物资（主要是安全防护设备、劳保用品）</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缺施工方案扣4～8分/项；</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资料有问题扣1～3分/项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537"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10</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应急预案</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5.应急预案，内容至少包括：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现场情况介绍</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风险评估</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应急架构（包括应急主管人员和安全员，以及各应急小组，落实到人和联系方式）</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应急流程</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各种风险情况下的应急措施（根据现场情况、分公司的风险评估制定）</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应急物资清单</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外单位救援力量及联系方式等</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缺应急预案扣4～8分/项；</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资料有问题扣1～3分/项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5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11</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安全架构</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6.安全架构和相应安全责任制（落实到人和联系方式），可编写入施工方案内，架构人员主要包括：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安全责任人</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施工负责人（可与安全责任人为同一个人）</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安全员</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设备、物资管理人员</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关键岗位人员、特种作业人员</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缺安全架构扣5～10分/项；</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缺任何一类人员及其职责有问题扣2～4分/项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24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12</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人员资质</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7.施工人员花名册，人员应包含：</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施工负责人（需要施工管理人员资格证书）</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安全员（涉及动火、临时用电、有限空间、高空、抽堵盲板、吊装、动土、断路、设备检修等9大危险作业的，安全员需要有安全员证）</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特种作业人员（附证件号，同时要复印特种作业证，特种作业人数应满足合同要求）</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一般施工人员</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可能需要进入厂区的其他人员（如监理人员、资料员等）</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注：如作业涉及危险作业，作业人员须有作业人员岗前职业病体检和筛选</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缺花名册扣3～5分/项；</w:t>
            </w:r>
          </w:p>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缺特种作业人员或特种作业人员不满足合同要求扣3～5分/项；</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其他人员或资料有缺漏扣1～3分/项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56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13</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施工现场管理</w:t>
            </w: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现场面貌</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1.施工现场未开展有效围蔽</w:t>
            </w:r>
          </w:p>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2.无七牌一图或有缺漏（七牌：工程概况牌：管理人员名单及监督电话牌、现场事故应急救援预案公示牌、安全生产牌、文明施工牌、消防保卫牌、环境保护牌；一图：施工现场平面图）</w:t>
            </w:r>
          </w:p>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3.现场无危险源公示、告知及相应警示</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4.材料堆放存在重大隐患</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扣2～4分/项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8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14</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1.现场未按施工方案落实安全防范措施的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2.危险作业未经业主人员审批先行施工的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3.未按施工方案施工的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扣3～5分/项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86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15</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每日安全交底</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1.缺少书面交底、未留存书面资料或交底资料缺少交底人、被交底人及安全员签字的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2.内容未结合当天的现场状况、特点、工序，对危险因素、施工内容、安全作业和应急措施进行交底的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扣2～4分/项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1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16</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作业行为管理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1.违反9大危险作业相关作业规范的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2.现场存在违章作业、违章指挥等违反相关安全管理规定或制度的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3.人员错误使用劳保用品3次以上的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扣3～5分/项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5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17</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安全记录</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未按施工要求开展现场记录或记录内容有缺失</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扣2～4分/项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76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18</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应急管理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1.未设置应急物资点，未统一存放应急物资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2.应急物资点无应急物资清单或无应急物资每日检查表</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3.无开展日常应急培训、训练、演练或无资料留档的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扣2～4分/项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5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19</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人员变更无完善的手续及资料的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扣3～5分/项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4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20</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隐患管理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未及时对发现的隐患开展整改的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扣4～8分/项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56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21</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违反业主或上级主管部门提出的其他管理要求、文件、规定或拒不执行的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扣2～5分/项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3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22</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440" w:hRule="atLeast"/>
          <w:jc w:val="center"/>
        </w:trPr>
        <w:tc>
          <w:tcPr>
            <w:tcW w:w="9302" w:type="dxa"/>
            <w:gridSpan w:val="10"/>
            <w:tcBorders>
              <w:top w:val="nil"/>
              <w:left w:val="nil"/>
              <w:bottom w:val="nil"/>
              <w:right w:val="nil"/>
            </w:tcBorders>
            <w:tcMar>
              <w:top w:w="12" w:type="dxa"/>
              <w:left w:w="12" w:type="dxa"/>
              <w:right w:w="12" w:type="dxa"/>
            </w:tcMar>
            <w:vAlign w:val="center"/>
          </w:tcPr>
          <w:p>
            <w:pPr>
              <w:widowControl/>
              <w:jc w:val="left"/>
              <w:textAlignment w:val="center"/>
              <w:rPr>
                <w:rFonts w:hint="eastAsia" w:eastAsia="宋体"/>
                <w:sz w:val="13"/>
                <w:szCs w:val="13"/>
                <w:lang w:eastAsia="zh-CN"/>
              </w:rPr>
            </w:pPr>
            <w:r>
              <w:rPr>
                <w:rFonts w:hint="eastAsia"/>
                <w:sz w:val="13"/>
                <w:szCs w:val="13"/>
              </w:rPr>
              <w:t>注：1、综合考评满分100分，各考评项目扣分不设上限；</w:t>
            </w:r>
          </w:p>
          <w:p>
            <w:pPr>
              <w:widowControl/>
              <w:jc w:val="left"/>
              <w:textAlignment w:val="center"/>
              <w:rPr>
                <w:rFonts w:hint="eastAsia" w:eastAsia="宋体"/>
                <w:sz w:val="13"/>
                <w:szCs w:val="13"/>
                <w:lang w:eastAsia="zh-CN"/>
              </w:rPr>
            </w:pPr>
            <w:r>
              <w:rPr>
                <w:rFonts w:hint="eastAsia"/>
                <w:sz w:val="13"/>
                <w:szCs w:val="13"/>
              </w:rPr>
              <w:t xml:space="preserve">    2、监理单位考评只作为参考及履职依据，不计入考评，无监理单位不需填写；</w:t>
            </w:r>
          </w:p>
          <w:p>
            <w:pPr>
              <w:widowControl/>
              <w:jc w:val="left"/>
              <w:textAlignment w:val="center"/>
              <w:rPr>
                <w:rFonts w:hint="eastAsia" w:eastAsia="宋体"/>
                <w:sz w:val="13"/>
                <w:szCs w:val="13"/>
                <w:lang w:eastAsia="zh-CN"/>
              </w:rPr>
            </w:pPr>
            <w:r>
              <w:rPr>
                <w:rFonts w:hint="eastAsia"/>
                <w:sz w:val="13"/>
                <w:szCs w:val="13"/>
              </w:rPr>
              <w:t xml:space="preserve">    3、“公司考评”业务主管部门和安全办针对本部门检查发现的内容进行扣（奖）分，项目部已经进行扣（奖）分的不重复执行；</w:t>
            </w:r>
          </w:p>
          <w:p>
            <w:pPr>
              <w:widowControl/>
              <w:jc w:val="left"/>
              <w:textAlignment w:val="center"/>
              <w:rPr>
                <w:rFonts w:hint="eastAsia" w:eastAsia="宋体"/>
                <w:sz w:val="13"/>
                <w:szCs w:val="13"/>
                <w:lang w:eastAsia="zh-CN"/>
              </w:rPr>
            </w:pPr>
            <w:r>
              <w:rPr>
                <w:rFonts w:hint="eastAsia"/>
                <w:sz w:val="13"/>
                <w:szCs w:val="13"/>
              </w:rPr>
              <w:t xml:space="preserve">    4、各分公司考评填写相应的得（扣）分数值，如奖2分则填写“2”，扣2分则填写“-2”；</w:t>
            </w:r>
          </w:p>
          <w:p>
            <w:pPr>
              <w:widowControl/>
              <w:jc w:val="left"/>
              <w:textAlignment w:val="center"/>
              <w:rPr>
                <w:rFonts w:hint="eastAsia" w:eastAsia="宋体"/>
                <w:sz w:val="13"/>
                <w:szCs w:val="13"/>
                <w:lang w:eastAsia="zh-CN"/>
              </w:rPr>
            </w:pPr>
            <w:r>
              <w:rPr>
                <w:rFonts w:hint="eastAsia"/>
                <w:sz w:val="13"/>
                <w:szCs w:val="13"/>
              </w:rPr>
              <w:t xml:space="preserve">    5、单项“综合考评”=项目部考评+公司考评；综合考评总分=各单项“综合考评”+100</w:t>
            </w:r>
          </w:p>
          <w:p>
            <w:pPr>
              <w:widowControl/>
              <w:jc w:val="left"/>
              <w:textAlignment w:val="center"/>
              <w:rPr>
                <w:rFonts w:hint="eastAsia" w:eastAsia="宋体"/>
                <w:sz w:val="13"/>
                <w:szCs w:val="13"/>
                <w:lang w:eastAsia="zh-CN"/>
              </w:rPr>
            </w:pPr>
            <w:r>
              <w:rPr>
                <w:rFonts w:hint="eastAsia"/>
                <w:sz w:val="13"/>
                <w:szCs w:val="13"/>
              </w:rPr>
              <w:t xml:space="preserve">    6、最后得分=综合考评总分X类别系数；</w:t>
            </w:r>
          </w:p>
          <w:p>
            <w:pPr>
              <w:widowControl/>
              <w:jc w:val="left"/>
              <w:textAlignment w:val="center"/>
              <w:rPr>
                <w:sz w:val="13"/>
                <w:szCs w:val="13"/>
              </w:rPr>
            </w:pPr>
            <w:r>
              <w:rPr>
                <w:rFonts w:hint="eastAsia"/>
                <w:sz w:val="13"/>
                <w:szCs w:val="13"/>
              </w:rPr>
              <w:t xml:space="preserve">    7、各考评项目具体考评标准内容参照广州市净水有限公司标准《工程项目安全管理规范》（Q/GZJSA 1-2021）执行。 </w:t>
            </w:r>
          </w:p>
          <w:p>
            <w:pPr>
              <w:ind w:firstLine="260" w:firstLineChars="200"/>
              <w:contextualSpacing/>
              <w:jc w:val="left"/>
              <w:rPr>
                <w:rFonts w:ascii="仿宋_GB2312" w:hAnsi="仿宋_GB2312" w:eastAsia="仿宋_GB2312" w:cs="仿宋_GB2312"/>
                <w:color w:val="000000"/>
                <w:sz w:val="13"/>
                <w:szCs w:val="13"/>
              </w:rPr>
            </w:pPr>
            <w:r>
              <w:rPr>
                <w:rFonts w:hint="eastAsia" w:ascii="仿宋_GB2312" w:hAnsi="仿宋_GB2312" w:eastAsia="仿宋_GB2312" w:cs="仿宋_GB2312"/>
                <w:color w:val="000000"/>
                <w:sz w:val="13"/>
                <w:szCs w:val="13"/>
              </w:rPr>
              <w:t>8、本处理标准出自《</w:t>
            </w:r>
            <w:r>
              <w:rPr>
                <w:rFonts w:hint="eastAsia" w:ascii="宋体" w:hAnsi="宋体" w:cs="宋体"/>
                <w:color w:val="000000"/>
                <w:sz w:val="13"/>
                <w:szCs w:val="13"/>
              </w:rPr>
              <w:t>广州净水公司工程项目承包单位质量安全考评细则（试行）</w:t>
            </w:r>
            <w:r>
              <w:rPr>
                <w:rFonts w:hint="eastAsia" w:ascii="仿宋_GB2312" w:hAnsi="仿宋_GB2312" w:eastAsia="仿宋_GB2312" w:cs="仿宋_GB2312"/>
                <w:color w:val="000000"/>
                <w:sz w:val="13"/>
                <w:szCs w:val="13"/>
              </w:rPr>
              <w:t>》。</w:t>
            </w:r>
          </w:p>
          <w:p>
            <w:pPr>
              <w:pStyle w:val="23"/>
              <w:ind w:firstLine="1126"/>
            </w:pPr>
          </w:p>
        </w:tc>
      </w:tr>
    </w:tbl>
    <w:p/>
    <w:p>
      <w:pPr>
        <w:pStyle w:val="5"/>
        <w:ind w:left="0" w:leftChars="0" w:firstLine="0" w:firstLineChars="0"/>
        <w:rPr>
          <w:rFonts w:hint="eastAsia" w:ascii="宋体" w:hAnsi="宋体" w:cs="宋体"/>
          <w:b/>
          <w:color w:val="auto"/>
          <w:szCs w:val="21"/>
          <w:highlight w:val="none"/>
          <w:lang w:val="en-US" w:eastAsia="zh-CN"/>
        </w:rPr>
      </w:pPr>
    </w:p>
    <w:p>
      <w:pPr>
        <w:pStyle w:val="5"/>
        <w:ind w:left="0" w:leftChars="0" w:firstLine="0" w:firstLineChars="0"/>
        <w:rPr>
          <w:rFonts w:hint="eastAsia" w:ascii="宋体" w:hAnsi="宋体" w:cs="宋体"/>
          <w:b/>
          <w:color w:val="auto"/>
          <w:szCs w:val="21"/>
          <w:highlight w:val="none"/>
          <w:lang w:val="en-US" w:eastAsia="zh-CN"/>
        </w:rPr>
      </w:pPr>
    </w:p>
    <w:p>
      <w:pPr>
        <w:pStyle w:val="5"/>
        <w:ind w:left="0" w:leftChars="0" w:firstLine="0" w:firstLineChars="0"/>
        <w:rPr>
          <w:rFonts w:hint="eastAsia" w:ascii="宋体" w:hAnsi="宋体" w:cs="宋体"/>
          <w:b/>
          <w:color w:val="auto"/>
          <w:szCs w:val="21"/>
          <w:highlight w:val="none"/>
          <w:lang w:val="en-US" w:eastAsia="zh-CN"/>
        </w:rPr>
      </w:pPr>
    </w:p>
    <w:p>
      <w:pPr>
        <w:pStyle w:val="5"/>
        <w:ind w:left="0" w:leftChars="0" w:firstLine="0" w:firstLineChars="0"/>
        <w:rPr>
          <w:rFonts w:hint="eastAsia" w:ascii="宋体" w:hAnsi="宋体" w:cs="宋体"/>
          <w:b/>
          <w:color w:val="auto"/>
          <w:szCs w:val="21"/>
          <w:highlight w:val="none"/>
          <w:lang w:val="en-US" w:eastAsia="zh-CN"/>
        </w:rPr>
      </w:pPr>
    </w:p>
    <w:p>
      <w:pPr>
        <w:pStyle w:val="5"/>
        <w:ind w:left="0" w:leftChars="0" w:firstLine="0" w:firstLineChars="0"/>
        <w:rPr>
          <w:rFonts w:ascii="方正小标宋简体" w:hAnsi="方正小标宋简体" w:eastAsia="方正小标宋简体" w:cs="方正小标宋简体"/>
          <w:i w:val="0"/>
          <w:iCs w:val="0"/>
          <w:caps w:val="0"/>
          <w:color w:val="000000"/>
          <w:spacing w:val="0"/>
          <w:kern w:val="0"/>
          <w:sz w:val="44"/>
          <w:szCs w:val="44"/>
          <w:lang w:val="en-US" w:eastAsia="zh-CN" w:bidi="ar"/>
        </w:rPr>
      </w:pPr>
      <w:r>
        <w:rPr>
          <w:rFonts w:hint="eastAsia" w:ascii="宋体" w:hAnsi="宋体" w:cs="宋体"/>
          <w:b/>
          <w:color w:val="auto"/>
          <w:szCs w:val="21"/>
          <w:highlight w:val="none"/>
          <w:lang w:val="en-US" w:eastAsia="zh-CN"/>
        </w:rPr>
        <w:t>附件8：消防安全管理协议书</w:t>
      </w:r>
    </w:p>
    <w:p>
      <w:pPr>
        <w:keepNext w:val="0"/>
        <w:keepLines w:val="0"/>
        <w:widowControl/>
        <w:suppressLineNumbers w:val="0"/>
        <w:spacing w:before="0" w:beforeAutospacing="0" w:after="0" w:afterAutospacing="0"/>
        <w:ind w:left="0" w:right="0"/>
        <w:jc w:val="center"/>
        <w:rPr>
          <w:rFonts w:ascii="仿宋_GB2312" w:eastAsia="仿宋_GB2312" w:cs="仿宋_GB2312"/>
          <w:sz w:val="32"/>
          <w:szCs w:val="32"/>
        </w:rPr>
      </w:pPr>
      <w:r>
        <w:rPr>
          <w:rFonts w:ascii="方正小标宋简体" w:hAnsi="方正小标宋简体" w:eastAsia="方正小标宋简体" w:cs="方正小标宋简体"/>
          <w:i w:val="0"/>
          <w:iCs w:val="0"/>
          <w:caps w:val="0"/>
          <w:color w:val="000000"/>
          <w:spacing w:val="0"/>
          <w:kern w:val="0"/>
          <w:sz w:val="44"/>
          <w:szCs w:val="44"/>
          <w:lang w:val="en-US" w:eastAsia="zh-CN" w:bidi="ar"/>
        </w:rPr>
        <w:t>消防安全管理协议书</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甲方：</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乙方：</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为加强和规范消防安全管理，预防火灾事故，明确甲乙双方消防安全责任和义务，保障人员生命、财产安全，根据《中华人民共和国消防法》、《消防安全责任制实施办法》（国办发〔2017〕87号）、《机关、团体、企业、事业企业消防安全管理规定》（公安部第61号令）、《广东省实施〈中华人民共和国消防法〉办法》等法律、法规的规定，经过甲乙双方共同协商，特制定消防安全管理协议书，甲乙双方共同遵守执行。</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一、总则</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1.甲乙双方应遵守国家、省、市有关消防安全的法律、法规、规章，贯彻“预防为主、防消结合”的方针，履行消防安全职责，保障人员生命、财产安全。</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2.甲方、乙方明确专人为本协议的消防安全责任（管理）人，对本协议涉及的场所、场地、区域、施工作业项目的消防安全工作进行管理。</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3.甲乙双方应当逐级落实消防安全责任制，明确逐级岗位人员的消防安全职责。</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二、甲乙双方消防安全责任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1.贯彻执行国家、省、市消防安全法律、法规和规章，确保消防安全工作符合法规规定。</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2.为消防安全工作提供必要的经费投入、组织和物资保障。</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3.建立并落实消防安全制度、操作规程、灭火和应急疏散预案。</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4.组织消防安全检查，督促落实隐患整改，及时处理消防安全重大问题。</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5.组织所属人员开展消防安全知识宣传、教育培训，并定期组织灭火和应急疏散演练。</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6.协助、配合有关部门对所涉及的消防安全事故的调查、取证工作。</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三、甲方消防安全责任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1.制定并落实消防安全制度，落实层级消防安全责任，开展消防安全知识宣传、教育培训。</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2.对乙方开展定期或不定期消防安全检查，发现隐患的，要求乙方立即整改；乙方不能立即整改的，甲方发出隐患整改通知书要求乙方限期整改、消除隐患。</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3.督促乙方落实消防安全措施、整改消防隐患以及及时处理消防安全重大问题。</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四、乙方消防安全责任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1.掌握本协议书涉及的场所、场地、区域、施工作业项目的消防安全情况，服从甲方的消防安全管理，并承担相应消防安全责任。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2.建立健全消防安全组织架构，明确并落实相关人员的消防安全责任。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3.建立并落实消防安全制度、操作规程和灭火和应急疏散预案，落实防火措施。</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4.依法办理有关消防安全设施、所需的消防审核、报批手续，并经主管部门验收合格后方可投入使用。</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5.负责监护甲方配置给乙方的消防设施、设备、灭火器材和消防安全警示标识，未经甲方许可乙方不得损坏、遮挡、占用或随意移动位置或挪做他用，不得占用、堵塞安全出口、疏散通道、消防车通道、防火卷帘门等部位，影响其功能及使用。</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6.配备、保障所属消防设施、设备、灭火器材和消防安全警示标识完好、有效，并进行定期检查、维修保养、检测，保证正常运转；维护、保养、检测应当作好记录，并由有关人员签字；在有效期结束前或使用后及时更换或填充材料。</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7.将容易发生火灾或一旦发生火灾可能严重危及人身和财产安全的部位确定为消防安全重点部位，设置明显的防火标志，实行严格管理，落实防火措施。</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8.对所属人员进行消防知识培训、火警发生后逃生、自救技能的学习，提高其消防安全意识、对初发火灾的自扑自救能力，使其能正确使用消防设施、设备、灭火器材，落实“会报警、会使用灭火器、懂灭火、懂疏散”的要求。</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9.落实专/兼职消防安全管理人员，对消防控制室（监控中心）人员、自动消防设施操作人员、电（气）焊工、电工等特殊岗位、工种人员做到持证上岗，要依时培训、年审。</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10.组建义务消防队，制定火警火灾处置程序，定期组织开展火警火灾处置程序的演练，一旦发生火灾应按处置程序积极组织扑救，迅速疏散人员。</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11.严禁超负荷使用电器，严禁私拉乱用电源、不安全灯具；严禁存放、使用煤气、汽油、酒精、雷管、炸药等易燃、易爆、危险化学品；严格禁止“生产、仓储、住宿”为一体的“三合一”现象。</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12.若需动用明火作业的，严格实行动火作业票审批制度，并报请甲方审批。严禁私自动火作业。</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13.配合甲方的消防安全检查并及时落实整改；同时对自查发现存在的火灾隐患，应及时消除。</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14.参加甲方或有关企业、部门组织的消防安全教育培训和消防演练，并履行相应义务。</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15.当发生火灾时，应第一时间向甲方和公安消防部门报告。</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16.如发生由乙方原因造成的火灾责任事故，乙方应自行承担全部责任。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五、消防安全隐患整改</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1.对下列违反消防安全的行为，甲方应责成乙方立即整改并督促落实，对违反规定情况和整改情况应记录在案、存档备查：</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（1）使用、储存易燃易爆危险化学品的。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（2）私自使用明火、动火作业，或者在具有火灾、爆炸危险的场所吸烟、使用明火、动火作业，或者在具有火灾、爆炸危险的场所吸烟、使用明火、动火作业的。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（3）将安全出口上锁、遮挡或者占用、堆放物品影响防火卷帘门、疏散通道、消防车通道畅通的。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（4）消火栓、灭火器材被遮挡、影响使用或者被挪作他用的。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（5）消防设施管理、值班人员和防火巡查人员脱岗的。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（6）违章关闭消防设施、切断消防电源的。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（7）乱接乱拉电线、使用不安全灯具、超负荷使用电气设备的。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（8）存在“三合一”场所的。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（9）其他违反消防安全的行为。</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2.对不能立即整改的消防隐患，甲方有权向乙方发出消防安全整改通知书，提出整改方案，责令乙方在规定期限内整改完成。</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3.在隐患未消除之前，甲方应督促乙方落实防范措施，保障安全。不能确保安全的、随时有可能引发火灾或者一旦发生火灾将严重危及人身安全的，甲方有权勒令乙方无条件整改或撤离人员。</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4.消防安全隐患整改完毕，乙方应将整改情况记录报送甲方签字确认后存档备查。</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5.对于乙方确无能力解决的重大消防安全隐患，乙方应及时向甲方报告。</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6.若乙方未在规定期限内完成整改或乙方拒绝配合整改的，且无正当理由的，甲方有权自行予以整改，产生的整改费由乙方负责支付，拒不支付的，甲方有权从乙方租金、工程进度款、运营服务费等款项中予以扣除，不足以扣除部分，甲方将通过其他途径（如合同违约条款）扣除或采取法律途径予以追缴；必要时，甲方有权或申请有关行政部门扣减乙方的诚信评价分数。若发生安全事故的，甲方可将乙方纳入到甲方的招投标黑名单中，有权申请有关行政部门暂停乙方在一段时期内不得参加甲方招标项目的投标资格。</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本协议书甲</w:t>
      </w:r>
      <w:r>
        <w:rPr>
          <w:rFonts w:hint="eastAsia" w:ascii="仿宋_GB2312" w:eastAsia="仿宋_GB2312" w:cs="仿宋_GB2312"/>
          <w:i w:val="0"/>
          <w:iCs w:val="0"/>
          <w:caps w:val="0"/>
          <w:color w:val="000000"/>
          <w:spacing w:val="0"/>
          <w:kern w:val="0"/>
          <w:sz w:val="32"/>
          <w:szCs w:val="32"/>
          <w:lang w:val="en-US" w:eastAsia="zh-CN" w:bidi="ar"/>
        </w:rPr>
        <w:t>乙</w:t>
      </w:r>
      <w:r>
        <w:rPr>
          <w:rFonts w:hint="default" w:ascii="仿宋_GB2312" w:eastAsia="仿宋_GB2312" w:cs="仿宋_GB2312" w:hAnsiTheme="minorHAnsi"/>
          <w:i w:val="0"/>
          <w:iCs w:val="0"/>
          <w:caps w:val="0"/>
          <w:color w:val="000000"/>
          <w:spacing w:val="0"/>
          <w:kern w:val="0"/>
          <w:sz w:val="32"/>
          <w:szCs w:val="32"/>
          <w:lang w:val="en-US" w:eastAsia="zh-CN" w:bidi="ar"/>
        </w:rPr>
        <w:t>双</w:t>
      </w:r>
      <w:r>
        <w:rPr>
          <w:rFonts w:hint="eastAsia" w:ascii="仿宋_GB2312" w:eastAsia="仿宋_GB2312" w:cs="仿宋_GB2312"/>
          <w:i w:val="0"/>
          <w:iCs w:val="0"/>
          <w:caps w:val="0"/>
          <w:color w:val="000000"/>
          <w:spacing w:val="0"/>
          <w:kern w:val="0"/>
          <w:sz w:val="32"/>
          <w:szCs w:val="32"/>
          <w:lang w:val="en-US" w:eastAsia="zh-CN" w:bidi="ar"/>
        </w:rPr>
        <w:t>方</w:t>
      </w:r>
      <w:r>
        <w:rPr>
          <w:rFonts w:hint="default" w:ascii="仿宋_GB2312" w:eastAsia="仿宋_GB2312" w:cs="仿宋_GB2312" w:hAnsiTheme="minorHAnsi"/>
          <w:i w:val="0"/>
          <w:iCs w:val="0"/>
          <w:caps w:val="0"/>
          <w:color w:val="000000"/>
          <w:spacing w:val="0"/>
          <w:kern w:val="0"/>
          <w:sz w:val="32"/>
          <w:szCs w:val="32"/>
          <w:lang w:val="en-US" w:eastAsia="zh-CN" w:bidi="ar"/>
        </w:rPr>
        <w:t>执持数量与</w:t>
      </w:r>
      <w:r>
        <w:rPr>
          <w:rFonts w:hint="eastAsia" w:ascii="仿宋_GB2312" w:eastAsia="仿宋_GB2312" w:cs="仿宋_GB2312"/>
          <w:i w:val="0"/>
          <w:iCs w:val="0"/>
          <w:caps w:val="0"/>
          <w:color w:val="000000"/>
          <w:spacing w:val="0"/>
          <w:kern w:val="0"/>
          <w:sz w:val="32"/>
          <w:szCs w:val="32"/>
          <w:lang w:val="en-US" w:eastAsia="zh-CN" w:bidi="ar"/>
        </w:rPr>
        <w:t>主合同</w:t>
      </w:r>
      <w:r>
        <w:rPr>
          <w:rFonts w:hint="default" w:ascii="仿宋_GB2312" w:eastAsia="仿宋_GB2312" w:cs="仿宋_GB2312" w:hAnsiTheme="minorHAnsi"/>
          <w:i w:val="0"/>
          <w:iCs w:val="0"/>
          <w:caps w:val="0"/>
          <w:color w:val="000000"/>
          <w:spacing w:val="0"/>
          <w:kern w:val="0"/>
          <w:sz w:val="32"/>
          <w:szCs w:val="32"/>
          <w:lang w:val="en-US" w:eastAsia="zh-CN" w:bidi="ar"/>
        </w:rPr>
        <w:t>一致，双方明确有效期限。</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eastAsia" w:ascii="宋体" w:hAnsi="宋体" w:eastAsia="宋体" w:cs="宋体"/>
          <w:i w:val="0"/>
          <w:iCs w:val="0"/>
          <w:caps w:val="0"/>
          <w:color w:val="000000"/>
          <w:spacing w:val="0"/>
          <w:kern w:val="0"/>
          <w:sz w:val="32"/>
          <w:szCs w:val="32"/>
          <w:lang w:val="en-US" w:eastAsia="zh-CN" w:bidi="ar"/>
        </w:rPr>
        <w:t>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甲方（盖章）：</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乙方（盖章）：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eastAsia" w:ascii="宋体" w:hAnsi="宋体" w:eastAsia="宋体" w:cs="宋体"/>
          <w:i w:val="0"/>
          <w:iCs w:val="0"/>
          <w:caps w:val="0"/>
          <w:color w:val="000000"/>
          <w:spacing w:val="0"/>
          <w:kern w:val="0"/>
          <w:sz w:val="32"/>
          <w:szCs w:val="32"/>
          <w:lang w:val="en-US" w:eastAsia="zh-CN" w:bidi="ar"/>
        </w:rPr>
        <w:t>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甲方签字：</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乙方签字:</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eastAsia" w:ascii="宋体" w:hAnsi="宋体" w:eastAsia="宋体" w:cs="宋体"/>
          <w:i w:val="0"/>
          <w:iCs w:val="0"/>
          <w:caps w:val="0"/>
          <w:color w:val="000000"/>
          <w:spacing w:val="0"/>
          <w:kern w:val="0"/>
          <w:sz w:val="32"/>
          <w:szCs w:val="32"/>
          <w:lang w:val="en-US" w:eastAsia="zh-CN" w:bidi="ar"/>
        </w:rPr>
        <w:t>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联系电话：</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联系电话：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eastAsia" w:ascii="宋体" w:hAnsi="宋体" w:eastAsia="宋体" w:cs="宋体"/>
          <w:i w:val="0"/>
          <w:iCs w:val="0"/>
          <w:caps w:val="0"/>
          <w:color w:val="000000"/>
          <w:spacing w:val="0"/>
          <w:kern w:val="0"/>
          <w:sz w:val="32"/>
          <w:szCs w:val="32"/>
          <w:lang w:val="en-US" w:eastAsia="zh-CN" w:bidi="ar"/>
        </w:rPr>
        <w:t>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联系地址：</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联系地址：</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eastAsia" w:ascii="宋体" w:hAnsi="宋体" w:eastAsia="宋体" w:cs="宋体"/>
          <w:i w:val="0"/>
          <w:iCs w:val="0"/>
          <w:caps w:val="0"/>
          <w:color w:val="000000"/>
          <w:spacing w:val="0"/>
          <w:kern w:val="0"/>
          <w:sz w:val="32"/>
          <w:szCs w:val="32"/>
          <w:lang w:val="en-US" w:eastAsia="zh-CN" w:bidi="ar"/>
        </w:rPr>
        <w:t>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签定时间：</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年</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月  日</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签定时间：  年  月  日</w:t>
      </w: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r>
        <w:rPr>
          <w:rFonts w:hint="eastAsia" w:ascii="仿宋_GB2312" w:hAnsi="仿宋_GB2312" w:eastAsia="仿宋_GB2312" w:cs="仿宋_GB2312"/>
          <w:b/>
          <w:bCs/>
          <w:sz w:val="24"/>
          <w:szCs w:val="24"/>
          <w:highlight w:val="none"/>
          <w:lang w:val="en-US" w:eastAsia="zh-CN"/>
        </w:rPr>
        <w:t>附件9：消防安全承诺书</w:t>
      </w:r>
    </w:p>
    <w:p>
      <w:pPr>
        <w:keepNext w:val="0"/>
        <w:keepLines w:val="0"/>
        <w:widowControl/>
        <w:suppressLineNumbers w:val="0"/>
        <w:spacing w:before="0" w:beforeAutospacing="0" w:after="0" w:afterAutospacing="0"/>
        <w:ind w:left="0" w:right="0" w:firstLine="640"/>
        <w:jc w:val="left"/>
        <w:rPr>
          <w:rFonts w:hint="eastAsia" w:ascii="仿宋_GB2312" w:eastAsia="仿宋_GB2312" w:cs="仿宋_GB2312" w:hAnsiTheme="minorHAnsi"/>
          <w:i w:val="0"/>
          <w:iCs w:val="0"/>
          <w:caps w:val="0"/>
          <w:color w:val="000000"/>
          <w:spacing w:val="0"/>
          <w:kern w:val="0"/>
          <w:sz w:val="32"/>
          <w:szCs w:val="32"/>
          <w:lang w:val="en-US" w:eastAsia="zh-CN" w:bidi="ar"/>
        </w:rPr>
      </w:pPr>
      <w:r>
        <w:rPr>
          <w:rFonts w:hint="eastAsia" w:asciiTheme="minorEastAsia" w:hAnsiTheme="minorEastAsia" w:cstheme="minorEastAsia"/>
          <w:b/>
          <w:bCs/>
          <w:sz w:val="21"/>
          <w:szCs w:val="21"/>
          <w:highlight w:val="none"/>
          <w:lang w:val="en-US" w:eastAsia="zh-CN"/>
        </w:rPr>
        <w:t xml:space="preserve">                     </w:t>
      </w:r>
      <w:r>
        <w:rPr>
          <w:rFonts w:hint="eastAsia" w:ascii="仿宋_GB2312" w:eastAsia="仿宋_GB2312" w:cs="仿宋_GB2312" w:hAnsiTheme="minorHAnsi"/>
          <w:i w:val="0"/>
          <w:iCs w:val="0"/>
          <w:caps w:val="0"/>
          <w:color w:val="000000"/>
          <w:spacing w:val="0"/>
          <w:kern w:val="0"/>
          <w:sz w:val="32"/>
          <w:szCs w:val="32"/>
          <w:lang w:val="en-US" w:eastAsia="zh-CN" w:bidi="ar"/>
        </w:rPr>
        <w:t xml:space="preserve">  消防安全承诺书</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eastAsia" w:ascii="仿宋_GB2312" w:eastAsia="仿宋_GB2312" w:cs="仿宋_GB2312" w:hAnsiTheme="minorHAnsi"/>
          <w:i w:val="0"/>
          <w:iCs w:val="0"/>
          <w:caps w:val="0"/>
          <w:color w:val="000000"/>
          <w:spacing w:val="0"/>
          <w:kern w:val="0"/>
          <w:sz w:val="32"/>
          <w:szCs w:val="32"/>
          <w:lang w:val="en-US" w:eastAsia="zh-CN" w:bidi="ar"/>
        </w:rPr>
        <w:t xml:space="preserve">  </w:t>
      </w:r>
      <w:r>
        <w:rPr>
          <w:rFonts w:hint="default" w:ascii="仿宋_GB2312" w:eastAsia="仿宋_GB2312" w:cs="仿宋_GB2312" w:hAnsiTheme="minorHAnsi"/>
          <w:i w:val="0"/>
          <w:iCs w:val="0"/>
          <w:caps w:val="0"/>
          <w:color w:val="000000"/>
          <w:spacing w:val="0"/>
          <w:kern w:val="0"/>
          <w:sz w:val="32"/>
          <w:szCs w:val="32"/>
          <w:lang w:val="en-US" w:eastAsia="zh-CN" w:bidi="ar"/>
        </w:rPr>
        <w:t>为贯彻执行《中华人民共和国消防法》《消防安全责任制  实施办法》 (国办法〔2017〕87号) 《机关、团体、企业、事业单位消防安全管理规定》 (公安部令第61号)和《广东省实施〈中华人民共和国消防法》办法》(广东省人大常委会公告第48号)等法律法规，落实消防安全主体责任，配备专职消防安全管理人、兼职消防安全管理人，确保消防安全，我单位郑重承诺认真开展自查自纠，对发现的隐患问题，承诺在规定时间内完成整改。</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我单位将自愿接受社会公众的监督，依照承诺书内容履行好 承诺，严格按照相关消防法律法规做好消防工作，若有违反，依 据《中华人民共和国消防法》和《广东省实施&lt;中华人民共和国</w:t>
      </w:r>
    </w:p>
    <w:p>
      <w:pPr>
        <w:keepNext w:val="0"/>
        <w:keepLines w:val="0"/>
        <w:widowControl/>
        <w:suppressLineNumbers w:val="0"/>
        <w:spacing w:before="0" w:beforeAutospacing="0" w:after="0" w:afterAutospacing="0"/>
        <w:ind w:right="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消防法〉办法》的有关规定，我单位将承担相关法律责任，切实</w:t>
      </w:r>
    </w:p>
    <w:p>
      <w:pPr>
        <w:keepNext w:val="0"/>
        <w:keepLines w:val="0"/>
        <w:widowControl/>
        <w:suppressLineNumbers w:val="0"/>
        <w:spacing w:before="0" w:beforeAutospacing="0" w:after="0" w:afterAutospacing="0"/>
        <w:ind w:right="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做到安全自查、隐患自除、责任自负、接受监督</w:t>
      </w:r>
      <w:r>
        <w:rPr>
          <w:rFonts w:hint="eastAsia" w:ascii="仿宋_GB2312" w:eastAsia="仿宋_GB2312" w:cs="仿宋_GB2312"/>
          <w:i w:val="0"/>
          <w:iCs w:val="0"/>
          <w:caps w:val="0"/>
          <w:color w:val="000000"/>
          <w:spacing w:val="0"/>
          <w:kern w:val="0"/>
          <w:sz w:val="32"/>
          <w:szCs w:val="32"/>
          <w:lang w:val="en-US" w:eastAsia="zh-CN" w:bidi="ar"/>
        </w:rPr>
        <w:t>。</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本承诺书甲方、乙方双方执持数量与主合同一致。</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承诺单位(公章):</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承诺人(签名):</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消防安全责任人(签名):</w:t>
      </w:r>
    </w:p>
    <w:p>
      <w:pPr>
        <w:keepNext w:val="0"/>
        <w:keepLines w:val="0"/>
        <w:widowControl/>
        <w:suppressLineNumbers w:val="0"/>
        <w:spacing w:before="0" w:beforeAutospacing="0" w:after="0" w:afterAutospacing="0"/>
        <w:ind w:left="0" w:right="0" w:firstLine="5126" w:firstLineChars="1602"/>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年</w:t>
      </w:r>
      <w:r>
        <w:rPr>
          <w:rFonts w:hint="eastAsia" w:ascii="仿宋_GB2312" w:eastAsia="仿宋_GB2312" w:cs="仿宋_GB2312"/>
          <w:i w:val="0"/>
          <w:iCs w:val="0"/>
          <w:caps w:val="0"/>
          <w:color w:val="000000"/>
          <w:spacing w:val="0"/>
          <w:kern w:val="0"/>
          <w:sz w:val="32"/>
          <w:szCs w:val="32"/>
          <w:lang w:val="en-US" w:eastAsia="zh-CN" w:bidi="ar"/>
        </w:rPr>
        <w:t xml:space="preserve">   </w:t>
      </w:r>
      <w:r>
        <w:rPr>
          <w:rFonts w:hint="default" w:ascii="仿宋_GB2312" w:eastAsia="仿宋_GB2312" w:cs="仿宋_GB2312" w:hAnsiTheme="minorHAnsi"/>
          <w:i w:val="0"/>
          <w:iCs w:val="0"/>
          <w:caps w:val="0"/>
          <w:color w:val="000000"/>
          <w:spacing w:val="0"/>
          <w:kern w:val="0"/>
          <w:sz w:val="32"/>
          <w:szCs w:val="32"/>
          <w:lang w:val="en-US" w:eastAsia="zh-CN" w:bidi="ar"/>
        </w:rPr>
        <w:t>月  日</w:t>
      </w:r>
    </w:p>
    <w:p>
      <w:pPr>
        <w:pStyle w:val="5"/>
        <w:ind w:firstLine="0"/>
        <w:rPr>
          <w:rFonts w:hint="eastAsia"/>
          <w:color w:val="auto"/>
          <w:highlight w:val="none"/>
        </w:rPr>
      </w:pPr>
    </w:p>
    <w:p/>
    <w:p>
      <w:pPr>
        <w:ind w:firstLine="422" w:firstLineChars="200"/>
        <w:rPr>
          <w:rFonts w:hint="eastAsia" w:ascii="仿宋" w:hAnsi="仿宋" w:eastAsia="仿宋" w:cs="仿宋"/>
          <w:b/>
          <w:color w:val="auto"/>
          <w:szCs w:val="21"/>
          <w:highlight w:val="none"/>
          <w:lang w:val="en-US" w:eastAsia="zh-CN"/>
        </w:rPr>
      </w:pPr>
      <w:r>
        <w:rPr>
          <w:rFonts w:hint="eastAsia" w:ascii="仿宋" w:hAnsi="仿宋" w:eastAsia="仿宋" w:cs="仿宋"/>
          <w:b/>
          <w:color w:val="auto"/>
          <w:szCs w:val="21"/>
          <w:highlight w:val="none"/>
        </w:rPr>
        <w:t>附件</w:t>
      </w:r>
      <w:r>
        <w:rPr>
          <w:rFonts w:hint="eastAsia" w:ascii="仿宋" w:hAnsi="仿宋" w:eastAsia="仿宋" w:cs="仿宋"/>
          <w:b/>
          <w:color w:val="auto"/>
          <w:szCs w:val="21"/>
          <w:highlight w:val="none"/>
          <w:lang w:val="en-US" w:eastAsia="zh-CN"/>
        </w:rPr>
        <w:t>10</w:t>
      </w:r>
      <w:r>
        <w:rPr>
          <w:rFonts w:hint="eastAsia" w:ascii="仿宋" w:hAnsi="仿宋" w:eastAsia="仿宋" w:cs="仿宋"/>
          <w:b/>
          <w:color w:val="auto"/>
          <w:szCs w:val="21"/>
          <w:highlight w:val="none"/>
        </w:rPr>
        <w:t>：</w:t>
      </w:r>
      <w:r>
        <w:rPr>
          <w:rFonts w:hint="eastAsia" w:ascii="仿宋" w:hAnsi="仿宋" w:eastAsia="仿宋" w:cs="仿宋"/>
          <w:b/>
          <w:color w:val="auto"/>
          <w:szCs w:val="21"/>
          <w:highlight w:val="none"/>
          <w:lang w:val="en-US" w:eastAsia="zh-CN"/>
        </w:rPr>
        <w:t>技术需求</w:t>
      </w:r>
    </w:p>
    <w:p>
      <w:pPr>
        <w:adjustRightInd w:val="0"/>
        <w:snapToGrid w:val="0"/>
        <w:spacing w:line="600" w:lineRule="exact"/>
        <w:jc w:val="left"/>
        <w:rPr>
          <w:rFonts w:hint="eastAsia" w:ascii="仿宋" w:hAnsi="仿宋" w:eastAsia="仿宋" w:cs="仿宋"/>
          <w:b/>
          <w:bCs/>
          <w:color w:val="auto"/>
          <w:sz w:val="28"/>
          <w:szCs w:val="28"/>
          <w:highlight w:val="none"/>
          <w:u w:val="none"/>
          <w:lang w:val="en-US" w:eastAsia="zh-CN"/>
        </w:rPr>
      </w:pPr>
      <w:r>
        <w:rPr>
          <w:rFonts w:hint="eastAsia" w:ascii="仿宋" w:hAnsi="仿宋" w:eastAsia="仿宋" w:cs="仿宋"/>
          <w:b/>
          <w:bCs/>
          <w:color w:val="auto"/>
          <w:sz w:val="28"/>
          <w:szCs w:val="28"/>
          <w:highlight w:val="none"/>
          <w:u w:val="none"/>
          <w:lang w:val="en-US" w:eastAsia="zh-CN"/>
        </w:rPr>
        <w:t>项目一：</w:t>
      </w:r>
      <w:r>
        <w:rPr>
          <w:rFonts w:hint="eastAsia" w:ascii="仿宋" w:hAnsi="仿宋" w:eastAsia="仿宋" w:cs="仿宋"/>
          <w:b/>
          <w:bCs/>
          <w:color w:val="auto"/>
          <w:sz w:val="28"/>
          <w:szCs w:val="28"/>
          <w:highlight w:val="none"/>
          <w:u w:val="none"/>
        </w:rPr>
        <w:t>大坦沙分公司三期滤池超越阀电动执行器优化等项目</w:t>
      </w:r>
    </w:p>
    <w:p>
      <w:pPr>
        <w:pStyle w:val="13"/>
        <w:numPr>
          <w:ilvl w:val="-1"/>
          <w:numId w:val="0"/>
        </w:numPr>
        <w:adjustRightInd w:val="0"/>
        <w:snapToGrid w:val="0"/>
        <w:spacing w:line="360" w:lineRule="auto"/>
        <w:ind w:left="420" w:leftChars="200" w:firstLine="0" w:firstLineChars="0"/>
        <w:rPr>
          <w:rFonts w:hint="eastAsia" w:ascii="仿宋" w:hAnsi="仿宋" w:eastAsia="仿宋" w:cs="仿宋"/>
          <w:b/>
          <w:color w:val="000000"/>
          <w:sz w:val="28"/>
          <w:szCs w:val="28"/>
          <w:lang w:val="zh-CN" w:eastAsia="zh-CN"/>
        </w:rPr>
      </w:pPr>
      <w:r>
        <w:rPr>
          <w:rFonts w:hint="eastAsia" w:ascii="仿宋" w:hAnsi="仿宋" w:eastAsia="仿宋" w:cs="仿宋"/>
          <w:b/>
          <w:color w:val="000000"/>
          <w:sz w:val="28"/>
          <w:szCs w:val="28"/>
          <w:lang w:val="en-US" w:eastAsia="zh-CN"/>
        </w:rPr>
        <w:t>一、</w:t>
      </w:r>
      <w:r>
        <w:rPr>
          <w:rFonts w:hint="eastAsia" w:ascii="仿宋" w:hAnsi="仿宋" w:eastAsia="仿宋" w:cs="仿宋"/>
          <w:b/>
          <w:color w:val="000000"/>
          <w:sz w:val="28"/>
          <w:szCs w:val="28"/>
          <w:lang w:val="zh-CN"/>
        </w:rPr>
        <w:t>项目情况介绍</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kern w:val="0"/>
          <w:sz w:val="28"/>
          <w:szCs w:val="28"/>
          <w:lang w:val="en-US" w:eastAsia="zh-CN"/>
        </w:rPr>
      </w:pPr>
      <w:r>
        <w:rPr>
          <w:rFonts w:hint="eastAsia" w:ascii="仿宋" w:hAnsi="仿宋" w:eastAsia="仿宋" w:cs="仿宋"/>
          <w:kern w:val="0"/>
          <w:sz w:val="28"/>
          <w:szCs w:val="28"/>
          <w:lang w:val="en-US" w:eastAsia="zh-CN"/>
        </w:rPr>
        <w:t>现大坦沙分公司三期滤池超越阀、出水阀、总超越阀等阀门由于电动执行器安装在阀门井内，阀门井盖板为格栅网，当雨季期间阀门井满水令执行器浸泡在水中，出现电动执行器电气元件故障、内部线路生锈等情况，因此需要更换三期滤池超越阀、出水阀、总超越阀等阀门的电动执行器并更换阀门井盖板。</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kern w:val="0"/>
          <w:sz w:val="28"/>
          <w:szCs w:val="28"/>
          <w:lang w:val="en-US" w:eastAsia="zh-CN"/>
        </w:rPr>
      </w:pPr>
      <w:r>
        <w:rPr>
          <w:rFonts w:hint="eastAsia" w:ascii="仿宋" w:hAnsi="仿宋" w:eastAsia="仿宋" w:cs="仿宋"/>
          <w:kern w:val="0"/>
          <w:sz w:val="28"/>
          <w:szCs w:val="28"/>
          <w:lang w:val="en-US" w:eastAsia="zh-CN"/>
        </w:rPr>
        <w:t>另一二期10#鼓风机出风阀由于执行器安装在阀门井内，阀门井内温度很高，一旦要调节非常麻烦，因此需要更换带加长杆电动执行器。</w:t>
      </w:r>
    </w:p>
    <w:p>
      <w:pPr>
        <w:pStyle w:val="13"/>
        <w:numPr>
          <w:ilvl w:val="-1"/>
          <w:numId w:val="0"/>
        </w:numPr>
        <w:adjustRightInd w:val="0"/>
        <w:snapToGrid w:val="0"/>
        <w:spacing w:line="360" w:lineRule="auto"/>
        <w:ind w:left="420" w:leftChars="200" w:firstLine="0" w:firstLineChars="0"/>
        <w:rPr>
          <w:rFonts w:hint="eastAsia" w:ascii="仿宋" w:hAnsi="仿宋" w:eastAsia="仿宋" w:cs="仿宋"/>
          <w:b/>
          <w:color w:val="000000"/>
          <w:sz w:val="28"/>
          <w:szCs w:val="28"/>
          <w:lang w:val="zh-CN" w:eastAsia="zh-CN"/>
        </w:rPr>
      </w:pPr>
      <w:r>
        <w:rPr>
          <w:rFonts w:hint="eastAsia" w:ascii="仿宋" w:hAnsi="仿宋" w:eastAsia="仿宋" w:cs="仿宋"/>
          <w:b/>
          <w:color w:val="000000"/>
          <w:sz w:val="28"/>
          <w:szCs w:val="28"/>
          <w:lang w:val="en-US" w:eastAsia="zh-CN"/>
        </w:rPr>
        <w:t>二、实施内容</w:t>
      </w:r>
    </w:p>
    <w:p>
      <w:pPr>
        <w:spacing w:line="360" w:lineRule="auto"/>
        <w:ind w:firstLine="64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3017520" cy="2501265"/>
            <wp:effectExtent l="0" t="0" r="11430" b="13335"/>
            <wp:docPr id="34" name="图片 1" descr="cab03e76cbec635d517bb5cd5a3fc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descr="cab03e76cbec635d517bb5cd5a3fcef"/>
                    <pic:cNvPicPr>
                      <a:picLocks noChangeAspect="1"/>
                    </pic:cNvPicPr>
                  </pic:nvPicPr>
                  <pic:blipFill>
                    <a:blip r:embed="rId8"/>
                    <a:stretch>
                      <a:fillRect/>
                    </a:stretch>
                  </pic:blipFill>
                  <pic:spPr>
                    <a:xfrm>
                      <a:off x="0" y="0"/>
                      <a:ext cx="3017520" cy="250126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1539875" cy="2060575"/>
            <wp:effectExtent l="0" t="0" r="3175" b="15875"/>
            <wp:docPr id="35" name="图片 2" descr="64335473c993c6f3a2f085d6f797f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descr="64335473c993c6f3a2f085d6f797fed"/>
                    <pic:cNvPicPr>
                      <a:picLocks noChangeAspect="1"/>
                    </pic:cNvPicPr>
                  </pic:nvPicPr>
                  <pic:blipFill>
                    <a:blip r:embed="rId9"/>
                    <a:stretch>
                      <a:fillRect/>
                    </a:stretch>
                  </pic:blipFill>
                  <pic:spPr>
                    <a:xfrm>
                      <a:off x="0" y="0"/>
                      <a:ext cx="1539875" cy="206057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二期滤池出水阀</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1815465" cy="2520315"/>
            <wp:effectExtent l="0" t="0" r="13335" b="13335"/>
            <wp:docPr id="36" name="图片 3" descr="bb5f8808f2e1bc4fee125d8b476fa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descr="bb5f8808f2e1bc4fee125d8b476fad9"/>
                    <pic:cNvPicPr>
                      <a:picLocks noChangeAspect="1"/>
                    </pic:cNvPicPr>
                  </pic:nvPicPr>
                  <pic:blipFill>
                    <a:blip r:embed="rId10"/>
                    <a:srcRect l="11826" r="18672" b="17990"/>
                    <a:stretch>
                      <a:fillRect/>
                    </a:stretch>
                  </pic:blipFill>
                  <pic:spPr>
                    <a:xfrm>
                      <a:off x="0" y="0"/>
                      <a:ext cx="1815465" cy="252031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三期滤池超越阀（超越滤池至接触池）</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2971800" cy="2113280"/>
            <wp:effectExtent l="0" t="0" r="0" b="1270"/>
            <wp:docPr id="37" name="图片 4" descr="d915b4f90c39d3780599f7720b7f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descr="d915b4f90c39d3780599f7720b7f181"/>
                    <pic:cNvPicPr>
                      <a:picLocks noChangeAspect="1"/>
                    </pic:cNvPicPr>
                  </pic:nvPicPr>
                  <pic:blipFill>
                    <a:blip r:embed="rId11"/>
                    <a:srcRect t="19577" b="21693"/>
                    <a:stretch>
                      <a:fillRect/>
                    </a:stretch>
                  </pic:blipFill>
                  <pic:spPr>
                    <a:xfrm>
                      <a:off x="0" y="0"/>
                      <a:ext cx="2971800" cy="2113280"/>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三期滤池出水阀</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2263775" cy="2392045"/>
            <wp:effectExtent l="0" t="0" r="3175" b="8255"/>
            <wp:docPr id="38" name="图片 5" descr="2380930833673c1ae93653503539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descr="2380930833673c1ae93653503539e02"/>
                    <pic:cNvPicPr>
                      <a:picLocks noChangeAspect="1"/>
                    </pic:cNvPicPr>
                  </pic:nvPicPr>
                  <pic:blipFill>
                    <a:blip r:embed="rId12"/>
                    <a:srcRect l="25885" t="10052" b="27513"/>
                    <a:stretch>
                      <a:fillRect/>
                    </a:stretch>
                  </pic:blipFill>
                  <pic:spPr>
                    <a:xfrm>
                      <a:off x="0" y="0"/>
                      <a:ext cx="2263775" cy="239204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三期滤池总超越阀（超越滤池及接触池）</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2168525" cy="2891790"/>
            <wp:effectExtent l="0" t="0" r="3175" b="3810"/>
            <wp:docPr id="39" name="图片 6" descr="5ab0d02fe9d64c62057716079cd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descr="5ab0d02fe9d64c62057716079cd0716"/>
                    <pic:cNvPicPr>
                      <a:picLocks noChangeAspect="1"/>
                    </pic:cNvPicPr>
                  </pic:nvPicPr>
                  <pic:blipFill>
                    <a:blip r:embed="rId13"/>
                    <a:stretch>
                      <a:fillRect/>
                    </a:stretch>
                  </pic:blipFill>
                  <pic:spPr>
                    <a:xfrm>
                      <a:off x="0" y="0"/>
                      <a:ext cx="2168525" cy="2891790"/>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一二期10#鼓风机出风阀</w:t>
      </w:r>
    </w:p>
    <w:p>
      <w:pPr>
        <w:numPr>
          <w:ilvl w:val="0"/>
          <w:numId w:val="5"/>
        </w:numPr>
        <w:spacing w:line="360" w:lineRule="auto"/>
        <w:ind w:firstLine="630" w:firstLineChars="225"/>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更换二期滤池超越阀、出水阀，三期滤池超越阀、出水阀、总超越阀电动执行器，更换为IP67防水等级、配加热功能、配3m加长杆的电动执行器；</w:t>
      </w:r>
    </w:p>
    <w:p>
      <w:pPr>
        <w:numPr>
          <w:ilvl w:val="0"/>
          <w:numId w:val="5"/>
        </w:numPr>
        <w:spacing w:line="360" w:lineRule="auto"/>
        <w:ind w:firstLine="630" w:firstLineChars="225"/>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二期滤池超越阀敷设远程控制电缆、开度反馈信号等至二期滤池低压电房；</w:t>
      </w:r>
    </w:p>
    <w:p>
      <w:pPr>
        <w:numPr>
          <w:ilvl w:val="0"/>
          <w:numId w:val="5"/>
        </w:numPr>
        <w:spacing w:line="360" w:lineRule="auto"/>
        <w:ind w:firstLine="630" w:firstLineChars="225"/>
        <w:rPr>
          <w:rFonts w:hint="eastAsia" w:ascii="仿宋" w:hAnsi="仿宋" w:eastAsia="仿宋" w:cs="仿宋"/>
          <w:kern w:val="0"/>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更换二期滤池超越阀、出水阀，三期滤池超越阀、出水阀、总超越阀阀门井盖板，更换为花纹不锈钢板；</w:t>
      </w:r>
    </w:p>
    <w:p>
      <w:pPr>
        <w:numPr>
          <w:ilvl w:val="0"/>
          <w:numId w:val="5"/>
        </w:numPr>
        <w:spacing w:line="360" w:lineRule="auto"/>
        <w:ind w:firstLine="630" w:firstLineChars="225"/>
        <w:rPr>
          <w:rFonts w:hint="eastAsia" w:ascii="仿宋" w:hAnsi="仿宋" w:eastAsia="仿宋" w:cs="仿宋"/>
          <w:kern w:val="0"/>
          <w:sz w:val="28"/>
          <w:szCs w:val="28"/>
          <w:lang w:val="en-US" w:eastAsia="zh-CN"/>
        </w:rPr>
      </w:pPr>
      <w:r>
        <w:rPr>
          <w:rFonts w:hint="eastAsia" w:ascii="仿宋" w:hAnsi="仿宋" w:eastAsia="仿宋" w:cs="仿宋"/>
          <w:sz w:val="28"/>
          <w:szCs w:val="28"/>
          <w:lang w:val="en-US" w:eastAsia="zh-CN"/>
        </w:rPr>
        <w:t>更换一二期10#鼓风机出风阀电动执行器，更换为带2.5米延长杆IP67 防水等级电动执行器，并扩建阀门井口更换阀门井盖板。</w:t>
      </w:r>
    </w:p>
    <w:p>
      <w:pPr>
        <w:pStyle w:val="13"/>
        <w:numPr>
          <w:ilvl w:val="-1"/>
          <w:numId w:val="0"/>
        </w:numPr>
        <w:adjustRightInd w:val="0"/>
        <w:snapToGrid w:val="0"/>
        <w:spacing w:line="360" w:lineRule="auto"/>
        <w:ind w:left="420" w:leftChars="200" w:firstLine="0" w:firstLineChars="0"/>
        <w:rPr>
          <w:rFonts w:hint="eastAsia" w:ascii="仿宋" w:hAnsi="仿宋" w:eastAsia="仿宋" w:cs="仿宋"/>
          <w:b/>
          <w:color w:val="000000"/>
          <w:sz w:val="28"/>
          <w:szCs w:val="28"/>
          <w:lang w:val="zh-CN" w:eastAsia="zh-CN"/>
        </w:rPr>
      </w:pPr>
      <w:r>
        <w:rPr>
          <w:rFonts w:hint="eastAsia" w:ascii="仿宋" w:hAnsi="仿宋" w:eastAsia="仿宋" w:cs="仿宋"/>
          <w:b/>
          <w:color w:val="000000"/>
          <w:sz w:val="28"/>
          <w:szCs w:val="28"/>
          <w:lang w:val="en-US" w:eastAsia="zh-CN"/>
        </w:rPr>
        <w:t>二、实施方案</w:t>
      </w:r>
    </w:p>
    <w:p>
      <w:pPr>
        <w:numPr>
          <w:ilvl w:val="0"/>
          <w:numId w:val="0"/>
        </w:numPr>
        <w:spacing w:line="360" w:lineRule="auto"/>
        <w:ind w:left="420" w:leftChars="0"/>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148455" cy="3140710"/>
            <wp:effectExtent l="0" t="0" r="4445" b="2540"/>
            <wp:docPr id="40" name="图片 7" descr="二期滤池超越阀自控信号线走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descr="二期滤池超越阀自控信号线走向"/>
                    <pic:cNvPicPr>
                      <a:picLocks noChangeAspect="1"/>
                    </pic:cNvPicPr>
                  </pic:nvPicPr>
                  <pic:blipFill>
                    <a:blip r:embed="rId14"/>
                    <a:stretch>
                      <a:fillRect/>
                    </a:stretch>
                  </pic:blipFill>
                  <pic:spPr>
                    <a:xfrm>
                      <a:off x="0" y="0"/>
                      <a:ext cx="4148455" cy="3140710"/>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二期滤池超越阀远程控制电缆走向图</w:t>
      </w:r>
    </w:p>
    <w:p>
      <w:pPr>
        <w:numPr>
          <w:ilvl w:val="0"/>
          <w:numId w:val="6"/>
        </w:numPr>
        <w:spacing w:line="360" w:lineRule="auto"/>
        <w:ind w:left="0" w:leftChars="0" w:firstLine="42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更换二期滤池超越阀、出水阀，三期滤池超越阀、出水阀、总超越阀电动执行器：</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拆除原阀门电动执行器螺栓及接线端，使用1t电动葫芦吊起原执行器；</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吊装更换新电动执行器：二期滤池超越阀（DN1400）、出水阀(DN1400)电动执行器SM30/SC02-S(2:1)、三期滤池超越阀(DN2000)、出水阀(DN2000)、总超越阀(DN2000)电动执行器SM50/SC02-S(4:1)，电动执行器要求IP67防水等级、配加热功能、3m加长杆及对应耦合器;</w:t>
      </w:r>
    </w:p>
    <w:p>
      <w:pPr>
        <w:pStyle w:val="5"/>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4678680" cy="3211195"/>
            <wp:effectExtent l="0" t="0" r="7620" b="8255"/>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15"/>
                    <a:stretch>
                      <a:fillRect/>
                    </a:stretch>
                  </pic:blipFill>
                  <pic:spPr>
                    <a:xfrm>
                      <a:off x="0" y="0"/>
                      <a:ext cx="4678680" cy="321119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二期滤池超越阀、出水阀电动执行器</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5270500" cy="3709035"/>
            <wp:effectExtent l="0" t="0" r="6350" b="5715"/>
            <wp:docPr id="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9"/>
                    <pic:cNvPicPr>
                      <a:picLocks noChangeAspect="1"/>
                    </pic:cNvPicPr>
                  </pic:nvPicPr>
                  <pic:blipFill>
                    <a:blip r:embed="rId16"/>
                    <a:stretch>
                      <a:fillRect/>
                    </a:stretch>
                  </pic:blipFill>
                  <pic:spPr>
                    <a:xfrm>
                      <a:off x="0" y="0"/>
                      <a:ext cx="5270500" cy="370903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三期滤池超越阀、出水阀、总超越阀电动执行器</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电动执行器接线端子接入；</w:t>
      </w:r>
    </w:p>
    <w:p>
      <w:pPr>
        <w:numPr>
          <w:ilvl w:val="0"/>
          <w:numId w:val="0"/>
        </w:numPr>
        <w:spacing w:line="360" w:lineRule="auto"/>
        <w:ind w:left="420" w:leftChars="0"/>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148455" cy="3140710"/>
            <wp:effectExtent l="0" t="0" r="4445" b="2540"/>
            <wp:docPr id="46" name="图片 10" descr="二期滤池超越阀自控信号线走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0" descr="二期滤池超越阀自控信号线走向"/>
                    <pic:cNvPicPr>
                      <a:picLocks noChangeAspect="1"/>
                    </pic:cNvPicPr>
                  </pic:nvPicPr>
                  <pic:blipFill>
                    <a:blip r:embed="rId14"/>
                    <a:stretch>
                      <a:fillRect/>
                    </a:stretch>
                  </pic:blipFill>
                  <pic:spPr>
                    <a:xfrm>
                      <a:off x="0" y="0"/>
                      <a:ext cx="4148455" cy="3140710"/>
                    </a:xfrm>
                    <a:prstGeom prst="rect">
                      <a:avLst/>
                    </a:prstGeom>
                    <a:noFill/>
                    <a:ln>
                      <a:noFill/>
                    </a:ln>
                  </pic:spPr>
                </pic:pic>
              </a:graphicData>
            </a:graphic>
          </wp:inline>
        </w:drawing>
      </w:r>
    </w:p>
    <w:p>
      <w:pPr>
        <w:numPr>
          <w:ilvl w:val="0"/>
          <w:numId w:val="0"/>
        </w:numPr>
        <w:spacing w:line="360" w:lineRule="auto"/>
        <w:ind w:leftChars="168"/>
        <w:jc w:val="center"/>
        <w:rPr>
          <w:rFonts w:hint="eastAsia" w:ascii="仿宋" w:hAnsi="仿宋" w:eastAsia="仿宋" w:cs="仿宋"/>
          <w:sz w:val="28"/>
          <w:szCs w:val="28"/>
          <w:lang w:val="en-US" w:eastAsia="zh-CN"/>
        </w:rPr>
      </w:pPr>
      <w:r>
        <w:rPr>
          <w:rFonts w:hint="eastAsia" w:ascii="仿宋" w:hAnsi="仿宋" w:eastAsia="仿宋" w:cs="仿宋"/>
          <w:color w:val="auto"/>
          <w:sz w:val="28"/>
          <w:szCs w:val="28"/>
          <w:lang w:val="en-US" w:eastAsia="zh-CN"/>
        </w:rPr>
        <w:t xml:space="preserve"> 二期滤池超越阀远程控制电缆走向图</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二期滤池超越阀按照图10所示敷设5条RVVP 2*1.5信号电缆沿电缆沟、不锈钢线槽到二期滤池低压电房PLC柜内，阀门采用开关信号控制；</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编写PLC程序针对二期滤池超越阀远程控制、开关到位、故障信号等，并在上位机开发对应界面；</w:t>
      </w:r>
    </w:p>
    <w:p>
      <w:pPr>
        <w:pStyle w:val="5"/>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238625" cy="2846070"/>
            <wp:effectExtent l="0" t="0" r="9525" b="11430"/>
            <wp:docPr id="47" name="图片 11" descr="盖板样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descr="盖板样式"/>
                    <pic:cNvPicPr>
                      <a:picLocks noChangeAspect="1"/>
                    </pic:cNvPicPr>
                  </pic:nvPicPr>
                  <pic:blipFill>
                    <a:blip r:embed="rId17"/>
                    <a:stretch>
                      <a:fillRect/>
                    </a:stretch>
                  </pic:blipFill>
                  <pic:spPr>
                    <a:xfrm>
                      <a:off x="0" y="0"/>
                      <a:ext cx="4238625" cy="2846070"/>
                    </a:xfrm>
                    <a:prstGeom prst="rect">
                      <a:avLst/>
                    </a:prstGeom>
                    <a:noFill/>
                    <a:ln>
                      <a:noFill/>
                    </a:ln>
                  </pic:spPr>
                </pic:pic>
              </a:graphicData>
            </a:graphic>
          </wp:inline>
        </w:drawing>
      </w:r>
    </w:p>
    <w:p>
      <w:pPr>
        <w:numPr>
          <w:ilvl w:val="0"/>
          <w:numId w:val="0"/>
        </w:numPr>
        <w:spacing w:line="360" w:lineRule="auto"/>
        <w:ind w:leftChars="168"/>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阀门井盖板尺寸及样式要求</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制作安装阀门井盖板，阀门井盖板样式见图11，阀门井尺寸：二期滤池总出水阀长0.76m*宽0.62m、三期滤池超越阀长1.62m*宽1.10m、三期滤池出水阀长1.6m*宽1.15m、三期滤池总超越阀长1.3m*0.92m；</w:t>
      </w:r>
    </w:p>
    <w:p>
      <w:pPr>
        <w:numPr>
          <w:ilvl w:val="0"/>
          <w:numId w:val="6"/>
        </w:numPr>
        <w:spacing w:line="360" w:lineRule="auto"/>
        <w:ind w:left="0" w:leftChars="0" w:firstLine="42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一二期10#鼓风机出风阀：</w:t>
      </w:r>
    </w:p>
    <w:p>
      <w:pPr>
        <w:numPr>
          <w:ilvl w:val="0"/>
          <w:numId w:val="8"/>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拆除原阀门电动执行器螺栓及接线端，使用1t电动葫芦吊起原执行器；</w:t>
      </w:r>
    </w:p>
    <w:p>
      <w:pPr>
        <w:pStyle w:val="5"/>
        <w:ind w:left="0" w:leftChars="0" w:firstLine="0" w:firstLineChars="0"/>
        <w:jc w:val="center"/>
        <w:rPr>
          <w:rFonts w:hint="eastAsia" w:ascii="仿宋" w:hAnsi="仿宋" w:eastAsia="仿宋" w:cs="仿宋"/>
          <w:sz w:val="28"/>
          <w:szCs w:val="28"/>
          <w:lang w:val="en-US" w:eastAsia="zh-CN"/>
        </w:rPr>
      </w:pPr>
      <w:r>
        <w:rPr>
          <w:rFonts w:hint="eastAsia" w:ascii="仿宋" w:hAnsi="仿宋" w:eastAsia="仿宋" w:cs="仿宋"/>
          <w:sz w:val="28"/>
          <w:szCs w:val="28"/>
        </w:rPr>
        <w:drawing>
          <wp:inline distT="0" distB="0" distL="114300" distR="114300">
            <wp:extent cx="5265420" cy="3641090"/>
            <wp:effectExtent l="0" t="0" r="11430" b="16510"/>
            <wp:docPr id="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2"/>
                    <pic:cNvPicPr>
                      <a:picLocks noChangeAspect="1"/>
                    </pic:cNvPicPr>
                  </pic:nvPicPr>
                  <pic:blipFill>
                    <a:blip r:embed="rId18"/>
                    <a:stretch>
                      <a:fillRect/>
                    </a:stretch>
                  </pic:blipFill>
                  <pic:spPr>
                    <a:xfrm>
                      <a:off x="0" y="0"/>
                      <a:ext cx="5265420" cy="3641090"/>
                    </a:xfrm>
                    <a:prstGeom prst="rect">
                      <a:avLst/>
                    </a:prstGeom>
                    <a:noFill/>
                    <a:ln>
                      <a:noFill/>
                    </a:ln>
                  </pic:spPr>
                </pic:pic>
              </a:graphicData>
            </a:graphic>
          </wp:inline>
        </w:drawing>
      </w:r>
    </w:p>
    <w:p>
      <w:pPr>
        <w:numPr>
          <w:ilvl w:val="0"/>
          <w:numId w:val="0"/>
        </w:numPr>
        <w:spacing w:line="360" w:lineRule="auto"/>
        <w:ind w:leftChars="168"/>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一二期10#鼓风机出风阀电动执行器</w:t>
      </w:r>
    </w:p>
    <w:p>
      <w:pPr>
        <w:numPr>
          <w:ilvl w:val="0"/>
          <w:numId w:val="8"/>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吊装更换新电动执行器：一二期10#鼓风机出风阀（DN800）电动执行器SM12/SC02-S(2:1)，电动执行器要求IP67防水等级、配加热功能、带2.5m延长杆;</w:t>
      </w:r>
    </w:p>
    <w:p>
      <w:pPr>
        <w:numPr>
          <w:ilvl w:val="0"/>
          <w:numId w:val="8"/>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电动执行器接线端子接入；</w:t>
      </w:r>
    </w:p>
    <w:p>
      <w:pPr>
        <w:pStyle w:val="5"/>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扩大阀门井口，原井口大小直径0.7m，扩大后井口大小1.2m*1.0m，阀门井口基础砌砖，制作安装阀门井盖板，阀门井盖板样式见图；</w:t>
      </w:r>
    </w:p>
    <w:p>
      <w:pPr>
        <w:adjustRightInd/>
        <w:snapToGrid/>
        <w:spacing w:line="240" w:lineRule="auto"/>
        <w:ind w:left="-210" w:leftChars="-100" w:firstLine="0" w:firstLineChars="0"/>
        <w:jc w:val="both"/>
        <w:rPr>
          <w:rFonts w:hint="eastAsia" w:ascii="仿宋" w:hAnsi="仿宋" w:eastAsia="仿宋" w:cs="仿宋"/>
          <w:b/>
          <w:bCs/>
          <w:color w:val="auto"/>
          <w:sz w:val="28"/>
          <w:szCs w:val="28"/>
          <w:highlight w:val="none"/>
          <w:u w:val="none"/>
          <w:lang w:val="en-US" w:eastAsia="zh-CN"/>
        </w:rPr>
      </w:pPr>
      <w:r>
        <w:rPr>
          <w:rFonts w:hint="eastAsia" w:ascii="仿宋" w:hAnsi="仿宋" w:eastAsia="仿宋" w:cs="仿宋"/>
          <w:b/>
          <w:bCs/>
          <w:color w:val="auto"/>
          <w:sz w:val="28"/>
          <w:szCs w:val="28"/>
          <w:highlight w:val="none"/>
          <w:u w:val="none"/>
          <w:lang w:val="en-US" w:eastAsia="zh-CN"/>
        </w:rPr>
        <w:t>项目二：</w:t>
      </w:r>
      <w:r>
        <w:rPr>
          <w:rFonts w:hint="eastAsia" w:ascii="仿宋" w:hAnsi="仿宋" w:eastAsia="仿宋" w:cs="仿宋"/>
          <w:b/>
          <w:bCs/>
          <w:color w:val="auto"/>
          <w:sz w:val="28"/>
          <w:szCs w:val="28"/>
          <w:highlight w:val="none"/>
          <w:u w:val="none"/>
        </w:rPr>
        <w:t>大坦沙分公司二期内回流泵远程控制优化项目</w:t>
      </w:r>
    </w:p>
    <w:p>
      <w:pPr>
        <w:pStyle w:val="13"/>
        <w:numPr>
          <w:ilvl w:val="0"/>
          <w:numId w:val="9"/>
        </w:numPr>
        <w:adjustRightInd w:val="0"/>
        <w:snapToGrid w:val="0"/>
        <w:spacing w:line="360" w:lineRule="auto"/>
        <w:ind w:left="420" w:leftChars="200" w:firstLine="0" w:firstLineChars="0"/>
        <w:rPr>
          <w:rFonts w:hint="eastAsia" w:ascii="仿宋" w:hAnsi="仿宋" w:eastAsia="仿宋" w:cs="仿宋"/>
          <w:b/>
          <w:color w:val="000000"/>
          <w:sz w:val="28"/>
          <w:szCs w:val="28"/>
          <w:lang w:val="zh-CN"/>
        </w:rPr>
      </w:pPr>
      <w:r>
        <w:rPr>
          <w:rFonts w:hint="eastAsia" w:ascii="仿宋" w:hAnsi="仿宋" w:eastAsia="仿宋" w:cs="仿宋"/>
          <w:b/>
          <w:color w:val="000000"/>
          <w:sz w:val="28"/>
          <w:szCs w:val="28"/>
          <w:lang w:val="zh-CN"/>
        </w:rPr>
        <w:t>项目情况介绍</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rightChars="0" w:firstLine="560" w:firstLineChars="200"/>
        <w:rPr>
          <w:rFonts w:hint="eastAsia" w:ascii="仿宋" w:hAnsi="仿宋" w:eastAsia="仿宋" w:cs="仿宋"/>
          <w:kern w:val="0"/>
          <w:sz w:val="28"/>
          <w:szCs w:val="28"/>
          <w:lang w:val="en-US" w:eastAsia="zh-CN"/>
        </w:rPr>
      </w:pPr>
      <w:r>
        <w:rPr>
          <w:rFonts w:hint="eastAsia" w:ascii="仿宋" w:hAnsi="仿宋" w:eastAsia="仿宋" w:cs="仿宋"/>
          <w:kern w:val="0"/>
          <w:sz w:val="28"/>
          <w:szCs w:val="28"/>
          <w:lang w:val="en-US" w:eastAsia="zh-CN"/>
        </w:rPr>
        <w:t>二期3号生产线共6台内回流泵，配有罗克韦尔POWERFLEX 400系列变频器，但PLC是通过软启对泵进行启停控制，且没配置远程控制逻辑。因此需立项对二期3号线反应池6台内回流泵控制方式进行改造。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ascii="仿宋" w:hAnsi="仿宋" w:eastAsia="仿宋" w:cs="仿宋"/>
          <w:b/>
          <w:color w:val="000000"/>
          <w:sz w:val="28"/>
          <w:szCs w:val="28"/>
          <w:highlight w:val="none"/>
          <w:lang w:val="zh-CN" w:eastAsia="zh-CN"/>
        </w:rPr>
      </w:pPr>
      <w:r>
        <w:rPr>
          <w:rFonts w:hint="eastAsia" w:ascii="仿宋" w:hAnsi="仿宋" w:eastAsia="仿宋" w:cs="仿宋"/>
          <w:b/>
          <w:color w:val="000000"/>
          <w:sz w:val="28"/>
          <w:szCs w:val="28"/>
          <w:lang w:val="zh-CN" w:eastAsia="zh-CN"/>
        </w:rPr>
        <w:t>二、实施内容</w:t>
      </w:r>
    </w:p>
    <w:p>
      <w:pPr>
        <w:numPr>
          <w:ilvl w:val="0"/>
          <w:numId w:val="0"/>
        </w:numPr>
        <w:ind w:left="0" w:leftChars="0" w:firstLine="638" w:firstLineChars="22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二期3号反应池内回流泵保留现有罗克韦尔POWERFLEX 400系列变频器，断开原PLC的控制回路，增加一台罗克韦尔2080-LC50-24QBB的PLC及RS485通讯模块（设备甲供），从变频器20号485接口敷设控制线至PLC的485通讯模块处，PLC接入以太网，完成接线后可直接在上位机增加对应内回流泵远程控制画面。</w:t>
      </w:r>
    </w:p>
    <w:p>
      <w:pPr>
        <w:numPr>
          <w:ilvl w:val="0"/>
          <w:numId w:val="0"/>
        </w:numPr>
        <w:ind w:left="0" w:leftChars="0" w:firstLine="638" w:firstLineChars="228"/>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74310" cy="1582420"/>
            <wp:effectExtent l="0" t="0" r="2540" b="17780"/>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19"/>
                    <a:stretch>
                      <a:fillRect/>
                    </a:stretch>
                  </pic:blipFill>
                  <pic:spPr>
                    <a:xfrm>
                      <a:off x="0" y="0"/>
                      <a:ext cx="5274310" cy="15824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71770" cy="5872480"/>
            <wp:effectExtent l="0" t="0" r="5080" b="13970"/>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20"/>
                    <a:stretch>
                      <a:fillRect/>
                    </a:stretch>
                  </pic:blipFill>
                  <pic:spPr>
                    <a:xfrm>
                      <a:off x="0" y="0"/>
                      <a:ext cx="5271770" cy="587248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ascii="仿宋" w:hAnsi="仿宋" w:eastAsia="仿宋" w:cs="仿宋"/>
          <w:b/>
          <w:color w:val="000000"/>
          <w:sz w:val="28"/>
          <w:szCs w:val="28"/>
          <w:highlight w:val="none"/>
          <w:lang w:val="zh-CN" w:eastAsia="zh-CN"/>
        </w:rPr>
      </w:pPr>
      <w:r>
        <w:rPr>
          <w:rFonts w:hint="eastAsia" w:ascii="仿宋" w:hAnsi="仿宋" w:eastAsia="仿宋" w:cs="仿宋"/>
          <w:b/>
          <w:color w:val="000000"/>
          <w:sz w:val="28"/>
          <w:szCs w:val="28"/>
          <w:lang w:val="en-US" w:eastAsia="zh-CN"/>
        </w:rPr>
        <w:t>三</w:t>
      </w:r>
      <w:r>
        <w:rPr>
          <w:rFonts w:hint="eastAsia" w:ascii="仿宋" w:hAnsi="仿宋" w:eastAsia="仿宋" w:cs="仿宋"/>
          <w:b/>
          <w:color w:val="000000"/>
          <w:sz w:val="28"/>
          <w:szCs w:val="28"/>
          <w:lang w:val="zh-CN" w:eastAsia="zh-CN"/>
        </w:rPr>
        <w:t>、实施</w:t>
      </w:r>
      <w:r>
        <w:rPr>
          <w:rFonts w:hint="eastAsia" w:ascii="仿宋" w:hAnsi="仿宋" w:eastAsia="仿宋" w:cs="仿宋"/>
          <w:b/>
          <w:color w:val="000000"/>
          <w:sz w:val="28"/>
          <w:szCs w:val="28"/>
          <w:lang w:val="en-US" w:eastAsia="zh-CN"/>
        </w:rPr>
        <w:t>方案</w:t>
      </w:r>
    </w:p>
    <w:p>
      <w:pPr>
        <w:numPr>
          <w:ilvl w:val="0"/>
          <w:numId w:val="10"/>
        </w:numPr>
        <w:ind w:left="0" w:leftChars="0" w:firstLine="638" w:firstLineChars="22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安装罗克韦尔2080-LC50-24QBB的PLC及RS485通讯模块（设备甲供）至PLC控制柜；</w:t>
      </w:r>
    </w:p>
    <w:p>
      <w:pPr>
        <w:numPr>
          <w:ilvl w:val="0"/>
          <w:numId w:val="10"/>
        </w:numPr>
        <w:ind w:left="0" w:leftChars="0" w:firstLine="638" w:firstLineChars="22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从PLC的485模块处敷设RVVP2*1.5控制电缆至变频器20号端子，控制电缆的屏蔽网接地，线缆长2.5m；</w:t>
      </w:r>
    </w:p>
    <w:p>
      <w:pPr>
        <w:numPr>
          <w:ilvl w:val="0"/>
          <w:numId w:val="10"/>
        </w:numPr>
        <w:ind w:left="0" w:leftChars="0" w:firstLine="638" w:firstLineChars="228"/>
        <w:rPr>
          <w:rFonts w:hint="eastAsia" w:ascii="仿宋" w:hAnsi="仿宋" w:eastAsia="仿宋" w:cs="仿宋"/>
          <w:sz w:val="28"/>
          <w:szCs w:val="28"/>
        </w:rPr>
      </w:pPr>
      <w:r>
        <w:rPr>
          <w:rFonts w:hint="eastAsia" w:ascii="仿宋" w:hAnsi="仿宋" w:eastAsia="仿宋" w:cs="仿宋"/>
          <w:sz w:val="28"/>
          <w:szCs w:val="28"/>
          <w:lang w:val="en-US" w:eastAsia="zh-CN"/>
        </w:rPr>
        <w:t>断开原PLC与回流泵的软启控制电缆；</w:t>
      </w:r>
    </w:p>
    <w:p>
      <w:pPr>
        <w:spacing w:line="500" w:lineRule="exact"/>
        <w:ind w:firstLine="560" w:firstLineChars="200"/>
        <w:rPr>
          <w:rFonts w:hint="eastAsia" w:ascii="仿宋" w:hAnsi="仿宋" w:eastAsia="仿宋" w:cs="仿宋"/>
          <w:b/>
          <w:sz w:val="28"/>
          <w:szCs w:val="28"/>
          <w:lang w:val="en-US" w:eastAsia="zh-CN"/>
        </w:rPr>
      </w:pPr>
      <w:r>
        <w:rPr>
          <w:rFonts w:hint="eastAsia" w:ascii="仿宋" w:hAnsi="仿宋" w:eastAsia="仿宋" w:cs="仿宋"/>
          <w:sz w:val="28"/>
          <w:szCs w:val="28"/>
          <w:lang w:val="en-US" w:eastAsia="zh-CN"/>
        </w:rPr>
        <w:t>编写PLC程序通过触摸屏经485控制变频器频率及读取变频器频率，同时开发触摸屏及上位机界面实现就地/远程控制切换、远程/就地调频控制、回流泵运行频率显示。</w:t>
      </w:r>
    </w:p>
    <w:p>
      <w:pPr>
        <w:jc w:val="both"/>
        <w:rPr>
          <w:rFonts w:hint="eastAsia" w:ascii="仿宋" w:hAnsi="仿宋" w:eastAsia="仿宋" w:cs="仿宋"/>
          <w:b/>
          <w:bCs/>
          <w:color w:val="auto"/>
          <w:sz w:val="28"/>
          <w:szCs w:val="28"/>
          <w:highlight w:val="none"/>
          <w:u w:val="none"/>
          <w:lang w:val="en-US" w:eastAsia="zh-CN"/>
        </w:rPr>
      </w:pPr>
      <w:r>
        <w:rPr>
          <w:rFonts w:hint="eastAsia" w:ascii="仿宋" w:hAnsi="仿宋" w:eastAsia="仿宋" w:cs="仿宋"/>
          <w:b/>
          <w:bCs/>
          <w:color w:val="auto"/>
          <w:sz w:val="28"/>
          <w:szCs w:val="28"/>
          <w:highlight w:val="none"/>
          <w:u w:val="none"/>
          <w:lang w:val="en-US" w:eastAsia="zh-CN"/>
        </w:rPr>
        <w:t>项目三：大坦沙分公司二期生化池光伏照明系统等维修项目</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项目基本情况：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2024年净水公司深入贯彻新发展理念，坚持高质量发展主题，以“降本增效”为导向。使净水公司日常运行达到节能、高效、低碳、环保等目标。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一：此项目将使用太阳能和风能作为主要能源供应，利用太阳能光电板和风机将太阳能和风能转化为电能。风光互补型路灯将通过整合能源，有效提高太阳能和风能的利用效率，为厂区提供更加高效、节能的路灯照明系统，响应发展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二：二期生化池上的光伏板因老化问题，以及逆变器和蓄电池的损坏，导致二期生化池光伏系统无法正常运行。为确保整个光伏系统的可持续性和稳定性，拟计划对二期光伏系统进行全面修复和升级。确保系统恢复正常功能，并进一步提高整体运行效率。</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项目必要性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一：大坦沙分公司三期生产区域区域照明不足，可能导致巡查人员视线模糊、行动不便，影响巡查的全面性和高效性增加巡查人员以及区域内其他人员的安全风险。增加太阳能路灯能够提高生产区域区域的整体照明水平，减少潜在安全隐患。</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二：二期生化池光伏系统无法正常运行，导致能源浪费。通过修复和升级光伏系统，可以提升能源利用效率，减少能源浪费，降低能源成本。同时，恢复光伏系统可以解决老化和损坏问题，确保光伏系统正常运行，提高系统稳定性，降低故障率，保障生化池照明能源供应的连续性和稳定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三、项目实施内容：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拟计划在大坦沙分公司三期生产区域上建设三期生产区域照明。参照相关规范，结合厂区实际需求，具体实施内容为：</w:t>
      </w:r>
    </w:p>
    <w:p>
      <w:pPr>
        <w:widowControl/>
        <w:numPr>
          <w:ilvl w:val="0"/>
          <w:numId w:val="12"/>
        </w:numPr>
        <w:spacing w:line="360" w:lineRule="auto"/>
        <w:ind w:firstLine="640"/>
        <w:jc w:val="left"/>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本项目拟采用风光互补型路灯，结合了太阳能和风能两种可再生能源，能够根据自然资源的变化灵活地调节发电和供电模式。当太阳能不足时，通过风力发电来补充电能；反之亦然。因此，风光互补型路灯具有更高的稳定性和可靠性，能够在各种天气条件下提供持续稳定的照明。</w:t>
      </w:r>
    </w:p>
    <w:p>
      <w:pPr>
        <w:widowControl/>
        <w:numPr>
          <w:ilvl w:val="0"/>
          <w:numId w:val="0"/>
        </w:numPr>
        <w:spacing w:line="360" w:lineRule="auto"/>
        <w:jc w:val="center"/>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drawing>
          <wp:inline distT="0" distB="0" distL="114300" distR="114300">
            <wp:extent cx="3275330" cy="3133090"/>
            <wp:effectExtent l="0" t="0" r="1270" b="10160"/>
            <wp:docPr id="19" name="图片 19" descr="9e99eab991ef838c7492b26c57a7a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9e99eab991ef838c7492b26c57a7a95"/>
                    <pic:cNvPicPr>
                      <a:picLocks noChangeAspect="1"/>
                    </pic:cNvPicPr>
                  </pic:nvPicPr>
                  <pic:blipFill>
                    <a:blip r:embed="rId21"/>
                    <a:stretch>
                      <a:fillRect/>
                    </a:stretch>
                  </pic:blipFill>
                  <pic:spPr>
                    <a:xfrm>
                      <a:off x="0" y="0"/>
                      <a:ext cx="3275330" cy="3133090"/>
                    </a:xfrm>
                    <a:prstGeom prst="rect">
                      <a:avLst/>
                    </a:prstGeom>
                  </pic:spPr>
                </pic:pic>
              </a:graphicData>
            </a:graphic>
          </wp:inline>
        </w:drawing>
      </w:r>
    </w:p>
    <w:p>
      <w:pPr>
        <w:widowControl/>
        <w:numPr>
          <w:ilvl w:val="0"/>
          <w:numId w:val="12"/>
        </w:numPr>
        <w:spacing w:line="360" w:lineRule="auto"/>
        <w:ind w:firstLine="640"/>
        <w:jc w:val="left"/>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参照相关规范要求，路灯使用单侧布置方式，灯杆高度不低于8米，路灯间距不大于24米。可以切换为“光源控制、时间控制、手动控制”三种状态。当切换到“光源控制”时，由感应光线装置自动感应户外的光线状况，根据户外的光线变化自动开停路灯；当切换到“时间控制”时，由预先设置的微时控装置进行开停控制，根据预设的时间进行路灯开停；当切换到手动控制时，可以受控控制路灯开停可以用于路灯维修时的电源切换。</w:t>
      </w:r>
    </w:p>
    <w:p>
      <w:pPr>
        <w:widowControl/>
        <w:numPr>
          <w:ilvl w:val="0"/>
          <w:numId w:val="12"/>
        </w:numPr>
        <w:spacing w:line="360" w:lineRule="auto"/>
        <w:ind w:firstLine="640"/>
        <w:jc w:val="left"/>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参照相关规范要求，选用截光型灯具布置，户外灯具防护等级大于等于IP65，光源需使用LED灯光源；</w:t>
      </w:r>
    </w:p>
    <w:p>
      <w:pPr>
        <w:widowControl/>
        <w:numPr>
          <w:ilvl w:val="0"/>
          <w:numId w:val="12"/>
        </w:numPr>
        <w:spacing w:line="360" w:lineRule="auto"/>
        <w:ind w:firstLine="640"/>
        <w:jc w:val="left"/>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安装位置如下图所示：</w:t>
      </w:r>
    </w:p>
    <w:p>
      <w:pPr>
        <w:widowControl/>
        <w:numPr>
          <w:ilvl w:val="0"/>
          <w:numId w:val="0"/>
        </w:numPr>
        <w:spacing w:line="360" w:lineRule="auto"/>
        <w:jc w:val="left"/>
        <w:rPr>
          <w:rFonts w:hint="eastAsia" w:ascii="仿宋" w:hAnsi="仿宋" w:eastAsia="仿宋" w:cs="仿宋"/>
          <w:sz w:val="28"/>
          <w:szCs w:val="28"/>
        </w:rPr>
      </w:pPr>
    </w:p>
    <w:p>
      <w:pPr>
        <w:widowControl/>
        <w:numPr>
          <w:ilvl w:val="0"/>
          <w:numId w:val="0"/>
        </w:numPr>
        <w:spacing w:line="360" w:lineRule="auto"/>
        <w:jc w:val="center"/>
        <w:rPr>
          <w:rFonts w:hint="eastAsia" w:ascii="仿宋" w:hAnsi="仿宋" w:eastAsia="仿宋" w:cs="仿宋"/>
          <w:sz w:val="28"/>
          <w:szCs w:val="28"/>
          <w:lang w:val="en-US" w:eastAsia="zh-CN"/>
        </w:rPr>
      </w:pPr>
      <w:r>
        <w:rPr>
          <w:rFonts w:hint="eastAsia" w:ascii="仿宋" w:hAnsi="仿宋" w:eastAsia="仿宋" w:cs="仿宋"/>
          <w:sz w:val="28"/>
          <w:szCs w:val="28"/>
        </w:rPr>
        <w:drawing>
          <wp:inline distT="0" distB="0" distL="114300" distR="114300">
            <wp:extent cx="4775835" cy="2968625"/>
            <wp:effectExtent l="0" t="0" r="5715"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2"/>
                    <a:stretch>
                      <a:fillRect/>
                    </a:stretch>
                  </pic:blipFill>
                  <pic:spPr>
                    <a:xfrm>
                      <a:off x="0" y="0"/>
                      <a:ext cx="4775835" cy="2968625"/>
                    </a:xfrm>
                    <a:prstGeom prst="rect">
                      <a:avLst/>
                    </a:prstGeom>
                    <a:noFill/>
                    <a:ln>
                      <a:noFill/>
                    </a:ln>
                  </pic:spPr>
                </pic:pic>
              </a:graphicData>
            </a:graphic>
          </wp:inline>
        </w:drawing>
      </w:r>
    </w:p>
    <w:p>
      <w:pPr>
        <w:widowControl/>
        <w:numPr>
          <w:ilvl w:val="0"/>
          <w:numId w:val="0"/>
        </w:numPr>
        <w:spacing w:line="360" w:lineRule="auto"/>
        <w:ind w:firstLine="560" w:firstLineChars="200"/>
        <w:jc w:val="left"/>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拟计划对二期光伏系统进行修复。二期反应池池面利用原有支架更换光伏板（共4块，每块550W），在二期反应池电房内放置逆变器一体机和蓄电池，该光伏系统将与市电供电的照明系统相配合。二期照明日常会使用光伏供电，当蓄电池电量降低至30%以下时，逆控一体机内的双电源转换开关会自动切换至市电供电。当蓄电池电量恢复至90%以上时，逆控一体机将重新转至光伏供电。为二期反应池照明系统提供双重保障，确保反应池照明系统的稳定性和可靠性，并进一步优化整体运行的效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四、实施方案：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    1、在路灯安装位置挖掘基础坑（长800*宽800*深1000mm）并周边复绿（共约10㎡），路灯基础为混凝土基础，确保基础坚固、垂直度和水平度。</w:t>
      </w:r>
    </w:p>
    <w:p>
      <w:pPr>
        <w:pStyle w:val="14"/>
        <w:ind w:firstLine="560" w:firstLineChars="200"/>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2、安装太阳能路灯灯具，和控制器，确保接线正确、固定牢靠。 </w:t>
      </w:r>
    </w:p>
    <w:p>
      <w:pPr>
        <w:pStyle w:val="14"/>
        <w:ind w:firstLine="560" w:firstLineChars="200"/>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3、安装完成后进行系统调试，确保太阳能路灯正常工作，同时进行验收，检查每盏太阳能路灯的安装质量和照明效果是否符合要求。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分项二：</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光伏板更换：利用原有支架，固定在支架上，确保光伏板对准阳光最佳角度。按照说明安装光伏板之间的连接线，确保接头牢固。同时增加支架来承托新增光伏板突出部分。</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电气设备安装：将蓄电池和逆变器一体机放置于二期反应池电房内的预定位置，确保蓄电池连接线正确无误，接头牢固可靠。 </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sz w:val="28"/>
          <w:szCs w:val="28"/>
          <w:lang w:val="en-US" w:eastAsia="zh-CN"/>
        </w:rPr>
      </w:pPr>
      <w:r>
        <w:rPr>
          <w:rFonts w:hint="eastAsia" w:ascii="仿宋" w:hAnsi="仿宋" w:eastAsia="仿宋" w:cs="仿宋"/>
          <w:color w:val="auto"/>
          <w:kern w:val="2"/>
          <w:sz w:val="28"/>
          <w:szCs w:val="28"/>
          <w:u w:val="none"/>
          <w:lang w:val="en-US" w:eastAsia="zh-CN" w:bidi="ar-SA"/>
        </w:rPr>
        <w:t>系统接线：将光伏板输出线连接至逆变器一体机的输入端，确保极性正确。连接逆变器一体机与蓄电池的输入输出线，确保蓄电池供电和充电线路正确。逆变器至照明系统的接线，将逆变器的输出端连接至二期反应池的照明系统配电箱。检查双电源转换开关的接入情况，确保市电和光伏电源切换正常。</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完成电缆敷设后，进行电缆测试和系统测试，确保电缆和系统的正常运行。</w:t>
      </w:r>
    </w:p>
    <w:p>
      <w:pPr>
        <w:jc w:val="both"/>
        <w:rPr>
          <w:rFonts w:hint="eastAsia" w:ascii="仿宋" w:hAnsi="仿宋" w:eastAsia="仿宋" w:cs="仿宋"/>
          <w:b/>
          <w:bCs/>
          <w:color w:val="auto"/>
          <w:sz w:val="28"/>
          <w:szCs w:val="28"/>
          <w:highlight w:val="none"/>
          <w:u w:val="none"/>
          <w:lang w:val="en-US" w:eastAsia="zh-CN"/>
        </w:rPr>
      </w:pPr>
    </w:p>
    <w:p>
      <w:pPr>
        <w:jc w:val="both"/>
        <w:rPr>
          <w:rFonts w:hint="eastAsia" w:ascii="仿宋" w:hAnsi="仿宋" w:eastAsia="仿宋" w:cs="仿宋"/>
          <w:b/>
          <w:bCs/>
          <w:color w:val="auto"/>
          <w:sz w:val="28"/>
          <w:szCs w:val="28"/>
          <w:highlight w:val="none"/>
          <w:u w:val="none"/>
          <w:lang w:val="en-US" w:eastAsia="zh-CN"/>
        </w:rPr>
      </w:pPr>
    </w:p>
    <w:p>
      <w:pPr>
        <w:jc w:val="both"/>
        <w:rPr>
          <w:rFonts w:hint="eastAsia" w:ascii="仿宋" w:hAnsi="仿宋" w:eastAsia="仿宋" w:cs="仿宋"/>
          <w:b/>
          <w:bCs/>
          <w:color w:val="auto"/>
          <w:sz w:val="28"/>
          <w:szCs w:val="28"/>
          <w:highlight w:val="none"/>
          <w:u w:val="none"/>
          <w:lang w:val="en-US" w:eastAsia="zh-CN"/>
        </w:rPr>
      </w:pPr>
      <w:r>
        <w:rPr>
          <w:rFonts w:hint="eastAsia" w:ascii="仿宋" w:hAnsi="仿宋" w:eastAsia="仿宋" w:cs="仿宋"/>
          <w:b/>
          <w:bCs/>
          <w:color w:val="auto"/>
          <w:sz w:val="28"/>
          <w:szCs w:val="28"/>
          <w:highlight w:val="none"/>
          <w:u w:val="none"/>
          <w:lang w:val="en-US" w:eastAsia="zh-CN"/>
        </w:rPr>
        <w:t>项目四：大坦沙分公司厂区滤池等排风机维修项目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一、项目基本情况：</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大坦沙分公司的一期、二期和三期滤池出水廊道个别排气扇发生故障。这些排气扇的主要功能是排出出水滤池中的湿气和废气，保持内部环境的干燥和空气流通。然而，由于排气扇的故障，出水廊道出现了潮湿、闷热等不良情况。一二期鼓风机房、一二期低压电房、4号变压器电房，这些排气扇的主要功能是排出湿气和降低电房内温度，保持内部环境的干燥和空气流通。以上共有14台排风机电机损坏且外壳、风叶老旧严重。拟计划将以上损坏的排风扇全部维修更换。一二、三期滤池设备间共有15台排风机损坏，滤池设备间空阔，自然通风条件良好，目前通过自然通风完全能满足空气流通的需求。且排气扇安装高度太高，影响其正常清洁和维护。拟计划拆除排气扇，保留风帽和隔网，满足其自然通风需求。</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一期滤池因埋地暗敷线路多处断裂，导致顶层坐地式排风机和池顶路灯相线对地，拟计划重新敷设配电线。</w:t>
      </w: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drawing>
          <wp:inline distT="0" distB="0" distL="114300" distR="114300">
            <wp:extent cx="4314190" cy="1802765"/>
            <wp:effectExtent l="0" t="0" r="10160" b="6985"/>
            <wp:docPr id="52" name="图片 52" descr="f675eb166c375cfb63b535c7d1ef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f675eb166c375cfb63b535c7d1ef458"/>
                    <pic:cNvPicPr>
                      <a:picLocks noChangeAspect="1"/>
                    </pic:cNvPicPr>
                  </pic:nvPicPr>
                  <pic:blipFill>
                    <a:blip r:embed="rId23"/>
                    <a:stretch>
                      <a:fillRect/>
                    </a:stretch>
                  </pic:blipFill>
                  <pic:spPr>
                    <a:xfrm>
                      <a:off x="0" y="0"/>
                      <a:ext cx="4314190" cy="1802765"/>
                    </a:xfrm>
                    <a:prstGeom prst="rect">
                      <a:avLst/>
                    </a:prstGeom>
                  </pic:spPr>
                </pic:pic>
              </a:graphicData>
            </a:graphic>
          </wp:inline>
        </w:drawing>
      </w:r>
      <w:r>
        <w:rPr>
          <w:rFonts w:hint="eastAsia" w:ascii="仿宋" w:hAnsi="仿宋" w:eastAsia="仿宋" w:cs="仿宋"/>
          <w:color w:val="auto"/>
          <w:kern w:val="2"/>
          <w:sz w:val="28"/>
          <w:szCs w:val="28"/>
          <w:u w:val="none"/>
          <w:lang w:val="en-US" w:eastAsia="zh-CN" w:bidi="ar-SA"/>
        </w:rPr>
        <w:drawing>
          <wp:inline distT="0" distB="0" distL="114300" distR="114300">
            <wp:extent cx="4291330" cy="1917065"/>
            <wp:effectExtent l="0" t="0" r="13970" b="6985"/>
            <wp:docPr id="53" name="图片 53" descr="76ba53a16560543a3dbff0eee0f21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76ba53a16560543a3dbff0eee0f212d"/>
                    <pic:cNvPicPr>
                      <a:picLocks noChangeAspect="1"/>
                    </pic:cNvPicPr>
                  </pic:nvPicPr>
                  <pic:blipFill>
                    <a:blip r:embed="rId24"/>
                    <a:stretch>
                      <a:fillRect/>
                    </a:stretch>
                  </pic:blipFill>
                  <pic:spPr>
                    <a:xfrm>
                      <a:off x="0" y="0"/>
                      <a:ext cx="4291330" cy="191706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一期滤池线缆损坏图：</w:t>
      </w: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drawing>
          <wp:inline distT="0" distB="0" distL="114300" distR="114300">
            <wp:extent cx="2141220" cy="4053840"/>
            <wp:effectExtent l="0" t="0" r="3810" b="11430"/>
            <wp:docPr id="54" name="图片 54" descr="102b182bfa72d186fba6999623ae5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02b182bfa72d186fba6999623ae59b"/>
                    <pic:cNvPicPr>
                      <a:picLocks noChangeAspect="1"/>
                    </pic:cNvPicPr>
                  </pic:nvPicPr>
                  <pic:blipFill>
                    <a:blip r:embed="rId25"/>
                    <a:stretch>
                      <a:fillRect/>
                    </a:stretch>
                  </pic:blipFill>
                  <pic:spPr>
                    <a:xfrm rot="16200000" flipH="1">
                      <a:off x="0" y="0"/>
                      <a:ext cx="2141220" cy="4053840"/>
                    </a:xfrm>
                    <a:prstGeom prst="rect">
                      <a:avLst/>
                    </a:prstGeom>
                  </pic:spPr>
                </pic:pic>
              </a:graphicData>
            </a:graphic>
          </wp:inline>
        </w:drawing>
      </w:r>
      <w:r>
        <w:rPr>
          <w:rFonts w:hint="eastAsia" w:ascii="仿宋" w:hAnsi="仿宋" w:eastAsia="仿宋" w:cs="仿宋"/>
          <w:color w:val="auto"/>
          <w:kern w:val="2"/>
          <w:sz w:val="28"/>
          <w:szCs w:val="28"/>
          <w:u w:val="none"/>
          <w:lang w:val="en-US" w:eastAsia="zh-CN" w:bidi="ar-SA"/>
        </w:rPr>
        <w:drawing>
          <wp:inline distT="0" distB="0" distL="114300" distR="114300">
            <wp:extent cx="4051935" cy="1826895"/>
            <wp:effectExtent l="0" t="0" r="5715" b="1905"/>
            <wp:docPr id="55" name="图片 55" descr="c452633e03ce7e49430afac1b0645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452633e03ce7e49430afac1b06453f"/>
                    <pic:cNvPicPr>
                      <a:picLocks noChangeAspect="1"/>
                    </pic:cNvPicPr>
                  </pic:nvPicPr>
                  <pic:blipFill>
                    <a:blip r:embed="rId26"/>
                    <a:stretch>
                      <a:fillRect/>
                    </a:stretch>
                  </pic:blipFill>
                  <pic:spPr>
                    <a:xfrm>
                      <a:off x="0" y="0"/>
                      <a:ext cx="4051935" cy="1826895"/>
                    </a:xfrm>
                    <a:prstGeom prst="rect">
                      <a:avLst/>
                    </a:prstGeom>
                  </pic:spPr>
                </pic:pic>
              </a:graphicData>
            </a:graphic>
          </wp:inline>
        </w:drawing>
      </w:r>
    </w:p>
    <w:p>
      <w:pPr>
        <w:pStyle w:val="3"/>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kern w:val="2"/>
          <w:sz w:val="28"/>
          <w:szCs w:val="28"/>
          <w:highlight w:val="none"/>
          <w:lang w:val="en-US" w:eastAsia="zh-CN" w:bidi="ar-SA"/>
        </w:rPr>
      </w:pPr>
      <w:r>
        <w:rPr>
          <w:rFonts w:hint="eastAsia" w:ascii="仿宋" w:hAnsi="仿宋" w:eastAsia="仿宋" w:cs="仿宋"/>
          <w:b/>
          <w:bCs/>
          <w:kern w:val="2"/>
          <w:sz w:val="28"/>
          <w:szCs w:val="28"/>
          <w:highlight w:val="none"/>
          <w:lang w:val="en-US" w:eastAsia="zh-CN" w:bidi="ar-SA"/>
        </w:rPr>
        <w:t>二、项目必要性：</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1、参考国标GB 50019-2015《工业建筑供暖通风与空气调节设计规范》。滤池出水廊道中，由于长期水汽聚集和缺乏自然通风，环境的高湿度会导致金属设施和电子设备加速腐蚀。长期的潮湿环境会对滤池出水廊道及其相关设施，如：气动阀门、天车、电箱、仪表等造成腐蚀和损坏，缩短设备的使用寿命。不仅增加了设备的维修频率，还可能导致更换设备的高昂成本。及时修复排气扇，符合国标相关规定同时可以避免设施的进一步损坏，延长设备的使用寿命，减少不必要的维护和更换费用。</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2、参考国标GB50053-2013《</w:t>
      </w:r>
      <w:r>
        <w:rPr>
          <w:rFonts w:hint="eastAsia" w:ascii="仿宋" w:hAnsi="仿宋" w:eastAsia="仿宋" w:cs="仿宋"/>
          <w:color w:val="auto"/>
          <w:kern w:val="2"/>
          <w:sz w:val="28"/>
          <w:szCs w:val="28"/>
          <w:u w:val="none"/>
          <w:lang w:val="en-US" w:eastAsia="zh-CN" w:bidi="ar-SA"/>
        </w:rPr>
        <w:fldChar w:fldCharType="begin"/>
      </w:r>
      <w:r>
        <w:rPr>
          <w:rFonts w:hint="eastAsia" w:ascii="仿宋" w:hAnsi="仿宋" w:eastAsia="仿宋" w:cs="仿宋"/>
          <w:color w:val="auto"/>
          <w:kern w:val="2"/>
          <w:sz w:val="28"/>
          <w:szCs w:val="28"/>
          <w:u w:val="none"/>
          <w:lang w:val="en-US" w:eastAsia="zh-CN" w:bidi="ar-SA"/>
        </w:rPr>
        <w:instrText xml:space="preserve"> HYPERLINK "https://www.doc88.com/p-38173715226831.html" \o "20kV及以下变电所设计规范 GB50053-2013" \t "https://m.doc88.com/tag/_blank" </w:instrText>
      </w:r>
      <w:r>
        <w:rPr>
          <w:rFonts w:hint="eastAsia" w:ascii="仿宋" w:hAnsi="仿宋" w:eastAsia="仿宋" w:cs="仿宋"/>
          <w:color w:val="auto"/>
          <w:kern w:val="2"/>
          <w:sz w:val="28"/>
          <w:szCs w:val="28"/>
          <w:u w:val="none"/>
          <w:lang w:val="en-US" w:eastAsia="zh-CN" w:bidi="ar-SA"/>
        </w:rPr>
        <w:fldChar w:fldCharType="separate"/>
      </w:r>
      <w:r>
        <w:rPr>
          <w:rFonts w:hint="eastAsia" w:ascii="仿宋" w:hAnsi="仿宋" w:eastAsia="仿宋" w:cs="仿宋"/>
          <w:color w:val="auto"/>
          <w:kern w:val="2"/>
          <w:sz w:val="28"/>
          <w:szCs w:val="28"/>
          <w:u w:val="none"/>
          <w:lang w:val="en-US" w:eastAsia="zh-CN" w:bidi="ar-SA"/>
        </w:rPr>
        <w:t>20kV及以下变电所设计规范</w:t>
      </w:r>
      <w:r>
        <w:rPr>
          <w:rFonts w:hint="eastAsia" w:ascii="仿宋" w:hAnsi="仿宋" w:eastAsia="仿宋" w:cs="仿宋"/>
          <w:color w:val="auto"/>
          <w:kern w:val="2"/>
          <w:sz w:val="28"/>
          <w:szCs w:val="28"/>
          <w:u w:val="none"/>
          <w:lang w:val="en-US" w:eastAsia="zh-CN" w:bidi="ar-SA"/>
        </w:rPr>
        <w:fldChar w:fldCharType="end"/>
      </w:r>
      <w:r>
        <w:rPr>
          <w:rFonts w:hint="eastAsia" w:ascii="仿宋" w:hAnsi="仿宋" w:eastAsia="仿宋" w:cs="仿宋"/>
          <w:color w:val="auto"/>
          <w:kern w:val="2"/>
          <w:sz w:val="28"/>
          <w:szCs w:val="28"/>
          <w:u w:val="none"/>
          <w:lang w:val="en-US" w:eastAsia="zh-CN" w:bidi="ar-SA"/>
        </w:rPr>
        <w:t>》，当电房排风机失效，高温环境会影响变压器、低压配电柜、电缆及母排等设备的运行效率，增加故障率。及时修复排气扇，符合国标相关规定同时可以确保良好的通风条件，以保证设备在适宜的温度范围内运行。</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3、参考国标GB 50019-2015《工业建筑供暖通风与空气调节设计规范》6.2自然通风规定。目前，滤池设备间空阔，自然通风条件良好，既能满足空气流通的基本需求，又能减少能源消耗和运维成本。且排气扇的安装高度过高，这给正常的清洁和维护工作带来了不便，增加了工作的难度和安全风险。拆除它们可以减少维护的复杂性和潜在的安全问题。 </w:t>
      </w:r>
    </w:p>
    <w:p>
      <w:pPr>
        <w:pStyle w:val="3"/>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kern w:val="2"/>
          <w:sz w:val="28"/>
          <w:szCs w:val="28"/>
          <w:highlight w:val="none"/>
          <w:lang w:val="en-US" w:eastAsia="zh-CN" w:bidi="ar-SA"/>
        </w:rPr>
      </w:pPr>
      <w:r>
        <w:rPr>
          <w:rFonts w:hint="eastAsia" w:ascii="仿宋" w:hAnsi="仿宋" w:eastAsia="仿宋" w:cs="仿宋"/>
          <w:b/>
          <w:bCs/>
          <w:kern w:val="2"/>
          <w:sz w:val="28"/>
          <w:szCs w:val="28"/>
          <w:highlight w:val="none"/>
          <w:lang w:val="en-US" w:eastAsia="zh-CN" w:bidi="ar-SA"/>
        </w:rPr>
        <w:t>三、项目实施内容：</w:t>
      </w:r>
    </w:p>
    <w:p>
      <w:pPr>
        <w:pageBreakBefore w:val="0"/>
        <w:widowControl w:val="0"/>
        <w:numPr>
          <w:ilvl w:val="0"/>
          <w:numId w:val="14"/>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对14台已损坏的风机进行更换。</w:t>
      </w:r>
    </w:p>
    <w:p>
      <w:pPr>
        <w:pageBreakBefore w:val="0"/>
        <w:widowControl w:val="0"/>
        <w:numPr>
          <w:ilvl w:val="0"/>
          <w:numId w:val="14"/>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拆除一二期滤池中15台已损坏的风机。</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3、重新敷设一期滤池顶层排风机和池顶路灯埋地暗敷线。</w:t>
      </w:r>
    </w:p>
    <w:p>
      <w:pPr>
        <w:pStyle w:val="3"/>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kern w:val="2"/>
          <w:sz w:val="28"/>
          <w:szCs w:val="28"/>
          <w:highlight w:val="none"/>
          <w:lang w:val="en-US" w:eastAsia="zh-CN" w:bidi="ar-SA"/>
        </w:rPr>
      </w:pPr>
      <w:r>
        <w:rPr>
          <w:rFonts w:hint="eastAsia" w:ascii="仿宋" w:hAnsi="仿宋" w:eastAsia="仿宋" w:cs="仿宋"/>
          <w:b/>
          <w:bCs/>
          <w:kern w:val="2"/>
          <w:sz w:val="28"/>
          <w:szCs w:val="28"/>
          <w:highlight w:val="none"/>
          <w:lang w:val="en-US" w:eastAsia="zh-CN" w:bidi="ar-SA"/>
        </w:rPr>
        <w:t>四、实施方案：</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1、拆除已损坏的排气扇；</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2、确定好安装位置，摆放好新排风机； </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3、连接好电源线路，确保电源正常； </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4、测试排风机是否正常运转，检查是否存在质量问题。 </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5、对已安装好的排风机进行测试运行，检查其正常工作。</w:t>
      </w:r>
    </w:p>
    <w:p>
      <w:pPr>
        <w:pStyle w:val="14"/>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备注：共有10台风机需要高处作业，高度8-10米。</w:t>
      </w:r>
    </w:p>
    <w:p>
      <w:pPr>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一期滤池线缆重新敷设：</w:t>
      </w:r>
    </w:p>
    <w:p>
      <w:pPr>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拆除路面，按照要求在敷设线路的路径上拆除路面，确保沟槽深度、宽度符合要求。 </w:t>
      </w:r>
    </w:p>
    <w:p>
      <w:pPr>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铺设电缆，将电缆放入挖好的沟槽中，根据规范要求进行捆扎、固定和保护。 </w:t>
      </w:r>
    </w:p>
    <w:p>
      <w:pPr>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完成电缆敷设后，进行电缆测试和系统测试，确保电缆和系统的正常运行。 </w:t>
      </w:r>
    </w:p>
    <w:p>
      <w:pPr>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路面修复和清理现场，重新浇筑混凝土填回沟槽，修复瓷砖。清理施工现场，保持施工区域的整洁。</w:t>
      </w:r>
    </w:p>
    <w:p>
      <w:pPr>
        <w:pageBreakBefore w:val="0"/>
        <w:widowControl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p>
    <w:p>
      <w:pPr>
        <w:numPr>
          <w:ilvl w:val="0"/>
          <w:numId w:val="0"/>
        </w:numPr>
        <w:spacing w:line="360" w:lineRule="auto"/>
        <w:ind w:left="0" w:leftChars="0" w:firstLine="0" w:firstLineChars="0"/>
        <w:rPr>
          <w:rFonts w:hint="eastAsia" w:ascii="仿宋" w:hAnsi="仿宋" w:eastAsia="仿宋" w:cs="仿宋"/>
          <w:color w:val="000000"/>
          <w:sz w:val="28"/>
          <w:szCs w:val="28"/>
          <w:lang w:val="en-US" w:eastAsia="zh-CN"/>
        </w:rPr>
      </w:pPr>
    </w:p>
    <w:p>
      <w:pPr>
        <w:pStyle w:val="29"/>
        <w:rPr>
          <w:rFonts w:hint="eastAsia"/>
          <w:lang w:val="en-US" w:eastAsia="zh-CN"/>
        </w:rPr>
      </w:pPr>
    </w:p>
    <w:p>
      <w:pPr>
        <w:spacing w:line="500" w:lineRule="exact"/>
        <w:ind w:firstLine="602" w:firstLineChars="200"/>
        <w:rPr>
          <w:rFonts w:hint="eastAsia" w:ascii="宋体" w:hAnsi="宋体" w:cs="宋体"/>
          <w:b/>
          <w:sz w:val="30"/>
          <w:lang w:val="en-US" w:eastAsia="zh-CN"/>
        </w:rPr>
      </w:pPr>
    </w:p>
    <w:p>
      <w:pPr>
        <w:spacing w:line="500" w:lineRule="exact"/>
        <w:ind w:firstLine="602" w:firstLineChars="200"/>
        <w:rPr>
          <w:rFonts w:hint="eastAsia" w:ascii="宋体" w:hAnsi="宋体" w:cs="宋体"/>
          <w:b/>
          <w:sz w:val="30"/>
          <w:lang w:val="en-US" w:eastAsia="zh-CN"/>
        </w:rPr>
      </w:pPr>
    </w:p>
    <w:p>
      <w:pPr>
        <w:spacing w:line="500" w:lineRule="exact"/>
        <w:ind w:firstLine="602" w:firstLineChars="200"/>
        <w:rPr>
          <w:rFonts w:hint="eastAsia" w:ascii="宋体" w:hAnsi="宋体" w:cs="宋体"/>
          <w:b/>
          <w:sz w:val="30"/>
          <w:lang w:val="en-US" w:eastAsia="zh-CN"/>
        </w:rPr>
      </w:pPr>
    </w:p>
    <w:p>
      <w:pPr>
        <w:pStyle w:val="2"/>
        <w:rPr>
          <w:color w:val="auto"/>
          <w:highlight w:val="none"/>
        </w:rPr>
      </w:pPr>
      <w:r>
        <w:rPr>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2528570</wp:posOffset>
                </wp:positionH>
                <wp:positionV relativeFrom="paragraph">
                  <wp:posOffset>758825</wp:posOffset>
                </wp:positionV>
                <wp:extent cx="958850" cy="0"/>
                <wp:effectExtent l="0" t="0" r="0" b="0"/>
                <wp:wrapNone/>
                <wp:docPr id="8" name="自选图形 11"/>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1" o:spid="_x0000_s1026" o:spt="32" type="#_x0000_t32" style="position:absolute;left:0pt;margin-left:199.1pt;margin-top:59.75pt;height:0pt;width:75.5pt;z-index:251664384;mso-width-relative:page;mso-height-relative:page;" filled="f" stroked="t" coordsize="21600,21600" o:gfxdata="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Q69ga1wAAAAsBAAAPAAAAAAAAAAEAIAAAACIAAABkcnMvZG93bnJldi54bWxQSwECFAAU&#10;AAAACACHTuJASgL+zPIBAADjAwAADgAAAAAAAAABACAAAAAmAQAAZHJzL2Uyb0RvYy54bWxQSwUG&#10;AAAAAAYABgBZAQAAigU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2535555</wp:posOffset>
                </wp:positionH>
                <wp:positionV relativeFrom="paragraph">
                  <wp:posOffset>192405</wp:posOffset>
                </wp:positionV>
                <wp:extent cx="958850" cy="0"/>
                <wp:effectExtent l="0" t="0" r="0" b="0"/>
                <wp:wrapNone/>
                <wp:docPr id="7" name="自选图形 10"/>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0" o:spid="_x0000_s1026" o:spt="32" type="#_x0000_t32" style="position:absolute;left:0pt;margin-left:199.65pt;margin-top:15.15pt;height:0pt;width:75.5pt;z-index:251663360;mso-width-relative:page;mso-height-relative:page;" filled="f" stroked="t" coordsize="21600,21600" o:gfxdata="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Ygh019YAAAAJAQAADwAAAAAAAAABACAAAAAiAAAAZHJzL2Rvd25yZXYueG1sUEsBAhQAFAAA&#10;AAgAh07iQELBwJnxAQAA4wMAAA4AAAAAAAAAAQAgAAAAJQEAAGRycy9lMm9Eb2MueG1sUEsFBgAA&#10;AAAGAAYAWQEAAIgFAAAAAA==&#10;">
                <v:fill on="f" focussize="0,0"/>
                <v:stroke color="#000000" joinstyle="round"/>
                <v:imagedata o:title=""/>
                <o:lock v:ext="edit" aspectratio="f"/>
              </v:shape>
            </w:pict>
          </mc:Fallback>
        </mc:AlternateContent>
      </w:r>
      <w:bookmarkStart w:id="85" w:name="_Toc6230"/>
      <w:bookmarkStart w:id="86" w:name="_Toc23515"/>
      <w:bookmarkStart w:id="87" w:name="_Toc3723"/>
      <w:bookmarkStart w:id="88" w:name="_Toc1563"/>
      <w:bookmarkStart w:id="89" w:name="_Toc12169"/>
      <w:bookmarkStart w:id="90" w:name="_Toc16552"/>
      <w:bookmarkStart w:id="91" w:name="_Toc28358"/>
      <w:bookmarkStart w:id="92" w:name="_Toc5129"/>
      <w:bookmarkStart w:id="93" w:name="_Toc8147"/>
      <w:bookmarkStart w:id="94" w:name="_Toc21847"/>
      <w:bookmarkStart w:id="95" w:name="_Toc30824"/>
      <w:r>
        <w:rPr>
          <w:rFonts w:hint="eastAsia"/>
          <w:color w:val="auto"/>
          <w:highlight w:val="none"/>
          <w:lang w:val="en-US" w:eastAsia="zh-CN"/>
        </w:rPr>
        <w:t xml:space="preserve">   </w:t>
      </w:r>
      <w:r>
        <w:rPr>
          <w:rFonts w:hint="eastAsia"/>
          <w:color w:val="auto"/>
          <w:highlight w:val="none"/>
        </w:rPr>
        <w:t>第七章</w:t>
      </w:r>
      <w:bookmarkEnd w:id="85"/>
      <w:bookmarkEnd w:id="86"/>
      <w:bookmarkEnd w:id="87"/>
      <w:bookmarkEnd w:id="88"/>
      <w:bookmarkEnd w:id="89"/>
      <w:bookmarkEnd w:id="90"/>
      <w:bookmarkEnd w:id="91"/>
      <w:bookmarkEnd w:id="92"/>
      <w:bookmarkEnd w:id="93"/>
      <w:bookmarkEnd w:id="94"/>
      <w:bookmarkEnd w:id="95"/>
    </w:p>
    <w:p>
      <w:pPr>
        <w:pStyle w:val="38"/>
        <w:rPr>
          <w:color w:val="auto"/>
          <w:highlight w:val="none"/>
        </w:rPr>
      </w:pPr>
    </w:p>
    <w:p>
      <w:pPr>
        <w:pStyle w:val="2"/>
        <w:rPr>
          <w:color w:val="auto"/>
          <w:highlight w:val="none"/>
        </w:rPr>
      </w:pPr>
      <w:bookmarkStart w:id="96" w:name="_Toc24815"/>
      <w:bookmarkStart w:id="97" w:name="_Toc10840"/>
      <w:bookmarkStart w:id="98" w:name="_Toc12769"/>
      <w:bookmarkStart w:id="99" w:name="_Toc22764"/>
      <w:bookmarkStart w:id="100" w:name="_Toc21675"/>
      <w:bookmarkStart w:id="101" w:name="_Toc17119"/>
      <w:bookmarkStart w:id="102" w:name="_Toc88209951"/>
      <w:bookmarkStart w:id="103" w:name="_Toc24490"/>
      <w:bookmarkStart w:id="104" w:name="_Toc30157"/>
      <w:bookmarkStart w:id="105" w:name="_Toc12610"/>
      <w:bookmarkStart w:id="106" w:name="_Toc87616388"/>
      <w:bookmarkStart w:id="107" w:name="_Toc31564"/>
      <w:bookmarkStart w:id="108" w:name="_Toc5342"/>
      <w:r>
        <w:rPr>
          <w:rFonts w:hint="eastAsia"/>
          <w:color w:val="auto"/>
          <w:highlight w:val="none"/>
        </w:rPr>
        <w:t>响应文件</w:t>
      </w:r>
      <w:r>
        <w:rPr>
          <w:rFonts w:hint="eastAsia"/>
          <w:color w:val="auto"/>
          <w:highlight w:val="none"/>
          <w:lang w:val="en-US" w:eastAsia="zh-CN"/>
        </w:rPr>
        <w:t>格式要求</w:t>
      </w:r>
      <w:bookmarkEnd w:id="96"/>
      <w:bookmarkEnd w:id="97"/>
      <w:bookmarkEnd w:id="98"/>
      <w:bookmarkEnd w:id="99"/>
      <w:bookmarkEnd w:id="100"/>
      <w:bookmarkEnd w:id="101"/>
      <w:bookmarkEnd w:id="102"/>
      <w:bookmarkEnd w:id="103"/>
      <w:bookmarkEnd w:id="104"/>
      <w:bookmarkEnd w:id="105"/>
      <w:bookmarkEnd w:id="106"/>
      <w:bookmarkEnd w:id="107"/>
      <w:bookmarkEnd w:id="108"/>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u w:val="single"/>
        </w:rPr>
      </w:pPr>
      <w:r>
        <w:rPr>
          <w:rFonts w:hint="eastAsia" w:ascii="方正小标宋简体" w:eastAsia="方正小标宋简体"/>
          <w:color w:val="auto"/>
          <w:sz w:val="44"/>
          <w:szCs w:val="44"/>
          <w:highlight w:val="none"/>
          <w:u w:val="single"/>
        </w:rPr>
        <w:t>（项目名称、标段/标包号）</w:t>
      </w:r>
    </w:p>
    <w:p>
      <w:pPr>
        <w:adjustRightInd w:val="0"/>
        <w:snapToGrid w:val="0"/>
        <w:spacing w:beforeLines="50" w:afterLines="50" w:line="600" w:lineRule="exact"/>
        <w:jc w:val="center"/>
        <w:rPr>
          <w:rFonts w:ascii="仿宋_GB2312" w:eastAsia="仿宋_GB2312"/>
          <w:color w:val="auto"/>
          <w:sz w:val="30"/>
          <w:szCs w:val="30"/>
          <w:highlight w:val="none"/>
        </w:rPr>
      </w:pPr>
    </w:p>
    <w:p>
      <w:pPr>
        <w:adjustRightInd w:val="0"/>
        <w:snapToGrid w:val="0"/>
        <w:spacing w:beforeLines="50" w:afterLines="50" w:line="600" w:lineRule="exact"/>
        <w:jc w:val="center"/>
        <w:rPr>
          <w:rFonts w:ascii="仿宋_GB2312" w:eastAsia="仿宋_GB2312"/>
          <w:color w:val="auto"/>
          <w:sz w:val="30"/>
          <w:szCs w:val="30"/>
          <w:highlight w:val="none"/>
        </w:rPr>
      </w:pPr>
      <w:r>
        <w:rPr>
          <w:rFonts w:hint="eastAsia" w:ascii="仿宋_GB2312" w:eastAsia="仿宋_GB2312"/>
          <w:color w:val="auto"/>
          <w:sz w:val="30"/>
          <w:szCs w:val="30"/>
          <w:highlight w:val="none"/>
        </w:rPr>
        <w:t>（项目编号：   ）</w:t>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jc w:val="center"/>
        <w:rPr>
          <w:rFonts w:hint="eastAsia" w:ascii="方正小标宋简体" w:eastAsia="方正小标宋简体"/>
          <w:color w:val="auto"/>
          <w:sz w:val="48"/>
          <w:szCs w:val="48"/>
          <w:highlight w:val="none"/>
        </w:rPr>
      </w:pPr>
    </w:p>
    <w:p>
      <w:pPr>
        <w:jc w:val="center"/>
        <w:rPr>
          <w:rFonts w:hint="eastAsia" w:ascii="方正小标宋简体" w:eastAsia="方正小标宋简体"/>
          <w:color w:val="auto"/>
          <w:sz w:val="48"/>
          <w:szCs w:val="48"/>
          <w:highlight w:val="none"/>
        </w:rPr>
      </w:pPr>
    </w:p>
    <w:p>
      <w:pPr>
        <w:jc w:val="center"/>
        <w:rPr>
          <w:rFonts w:hint="eastAsia" w:ascii="方正小标宋简体" w:eastAsia="方正小标宋简体"/>
          <w:color w:val="auto"/>
          <w:sz w:val="48"/>
          <w:szCs w:val="48"/>
          <w:highlight w:val="none"/>
        </w:rPr>
      </w:pPr>
    </w:p>
    <w:p>
      <w:pPr>
        <w:jc w:val="center"/>
        <w:rPr>
          <w:rFonts w:hint="eastAsia" w:ascii="方正小标宋简体" w:eastAsia="方正小标宋简体"/>
          <w:color w:val="auto"/>
          <w:sz w:val="48"/>
          <w:szCs w:val="48"/>
          <w:highlight w:val="none"/>
        </w:rPr>
      </w:pPr>
    </w:p>
    <w:p>
      <w:pPr>
        <w:jc w:val="center"/>
        <w:rPr>
          <w:rFonts w:hint="eastAsia" w:ascii="方正小标宋简体" w:eastAsia="方正小标宋简体"/>
          <w:color w:val="auto"/>
          <w:sz w:val="48"/>
          <w:szCs w:val="48"/>
          <w:highlight w:val="none"/>
        </w:rPr>
      </w:pPr>
    </w:p>
    <w:p>
      <w:pPr>
        <w:jc w:val="center"/>
        <w:rPr>
          <w:rFonts w:hint="eastAsia" w:ascii="方正小标宋简体" w:eastAsia="方正小标宋简体"/>
          <w:color w:val="auto"/>
          <w:sz w:val="48"/>
          <w:szCs w:val="48"/>
          <w:highlight w:val="none"/>
        </w:rPr>
      </w:pPr>
    </w:p>
    <w:p>
      <w:pPr>
        <w:jc w:val="center"/>
        <w:rPr>
          <w:rFonts w:hint="eastAsia" w:ascii="方正小标宋简体" w:eastAsia="方正小标宋简体"/>
          <w:color w:val="auto"/>
          <w:sz w:val="48"/>
          <w:szCs w:val="48"/>
          <w:highlight w:val="none"/>
        </w:rPr>
      </w:pPr>
    </w:p>
    <w:p>
      <w:pPr>
        <w:adjustRightInd w:val="0"/>
        <w:snapToGrid w:val="0"/>
        <w:spacing w:line="600" w:lineRule="exact"/>
        <w:ind w:left="1" w:firstLine="709" w:firstLineChars="197"/>
        <w:jc w:val="center"/>
        <w:rPr>
          <w:rFonts w:ascii="仿宋_GB2312" w:eastAsia="仿宋_GB2312" w:hAnsiTheme="minorEastAsia"/>
          <w:color w:val="auto"/>
          <w:sz w:val="36"/>
          <w:szCs w:val="36"/>
          <w:highlight w:val="none"/>
        </w:rPr>
      </w:pPr>
      <w:r>
        <w:rPr>
          <w:rFonts w:hint="eastAsia" w:ascii="仿宋_GB2312" w:eastAsia="仿宋_GB2312" w:hAnsiTheme="minorEastAsia"/>
          <w:color w:val="auto"/>
          <w:sz w:val="36"/>
          <w:szCs w:val="36"/>
          <w:highlight w:val="none"/>
        </w:rPr>
        <w:t>供应商：</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（单位公章）</w:t>
      </w:r>
    </w:p>
    <w:p>
      <w:pPr>
        <w:adjustRightInd w:val="0"/>
        <w:snapToGrid w:val="0"/>
        <w:spacing w:line="600" w:lineRule="exact"/>
        <w:ind w:left="1" w:right="560" w:firstLine="709" w:firstLineChars="197"/>
        <w:jc w:val="center"/>
        <w:rPr>
          <w:rFonts w:ascii="仿宋_GB2312" w:eastAsia="仿宋_GB2312" w:hAnsiTheme="minorEastAsia"/>
          <w:color w:val="auto"/>
          <w:sz w:val="36"/>
          <w:szCs w:val="36"/>
          <w:highlight w:val="none"/>
        </w:rPr>
      </w:pP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年</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月</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日</w:t>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both"/>
        <w:rPr>
          <w:rFonts w:ascii="方正小标宋简体" w:eastAsia="方正小标宋简体"/>
          <w:color w:val="auto"/>
          <w:sz w:val="30"/>
          <w:szCs w:val="30"/>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r>
        <w:rPr>
          <w:rFonts w:ascii="方正小标宋简体" w:eastAsia="方正小标宋简体"/>
          <w:color w:val="auto"/>
          <w:sz w:val="44"/>
          <w:szCs w:val="44"/>
          <w:highlight w:val="none"/>
        </w:rPr>
        <w:t>目</w:t>
      </w:r>
      <w:r>
        <w:rPr>
          <w:rFonts w:hint="eastAsia" w:ascii="方正小标宋简体" w:eastAsia="方正小标宋简体"/>
          <w:color w:val="auto"/>
          <w:sz w:val="44"/>
          <w:szCs w:val="44"/>
          <w:highlight w:val="none"/>
        </w:rPr>
        <w:t xml:space="preserve">  </w:t>
      </w:r>
      <w:r>
        <w:rPr>
          <w:rFonts w:ascii="方正小标宋简体" w:eastAsia="方正小标宋简体"/>
          <w:color w:val="auto"/>
          <w:sz w:val="44"/>
          <w:szCs w:val="44"/>
          <w:highlight w:val="none"/>
        </w:rPr>
        <w:t>录</w:t>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line="600" w:lineRule="exact"/>
        <w:jc w:val="center"/>
        <w:rPr>
          <w:rFonts w:ascii="方正小标宋简体" w:eastAsia="方正小标宋简体"/>
          <w:color w:val="auto"/>
          <w:sz w:val="44"/>
          <w:szCs w:val="44"/>
          <w:highlight w:val="none"/>
        </w:rPr>
      </w:pPr>
    </w:p>
    <w:p>
      <w:pPr>
        <w:spacing w:line="600" w:lineRule="exact"/>
        <w:rPr>
          <w:rFonts w:ascii="仿宋_GB2312" w:eastAsia="仿宋_GB2312"/>
          <w:color w:val="auto"/>
          <w:sz w:val="28"/>
          <w:szCs w:val="28"/>
          <w:highlight w:val="none"/>
        </w:rPr>
      </w:pPr>
      <w:bookmarkStart w:id="109" w:name="_Toc88209952"/>
      <w:bookmarkStart w:id="110" w:name="_Toc87616389"/>
      <w:r>
        <w:rPr>
          <w:rFonts w:hint="eastAsia" w:ascii="仿宋_GB2312" w:eastAsia="仿宋_GB2312"/>
          <w:color w:val="auto"/>
          <w:sz w:val="28"/>
          <w:szCs w:val="28"/>
          <w:highlight w:val="none"/>
        </w:rPr>
        <w:t>1.响应函</w:t>
      </w:r>
      <w:bookmarkEnd w:id="109"/>
      <w:bookmarkEnd w:id="110"/>
    </w:p>
    <w:p>
      <w:pPr>
        <w:spacing w:line="600" w:lineRule="exact"/>
        <w:rPr>
          <w:rFonts w:hint="eastAsia" w:ascii="仿宋_GB2312" w:eastAsia="仿宋_GB2312"/>
          <w:color w:val="auto"/>
          <w:sz w:val="28"/>
          <w:szCs w:val="28"/>
          <w:highlight w:val="none"/>
        </w:rPr>
      </w:pPr>
      <w:bookmarkStart w:id="111" w:name="_Toc88209953"/>
      <w:bookmarkStart w:id="112" w:name="_Toc87616390"/>
      <w:r>
        <w:rPr>
          <w:rFonts w:hint="eastAsia" w:ascii="仿宋_GB2312" w:eastAsia="仿宋_GB2312"/>
          <w:color w:val="auto"/>
          <w:sz w:val="28"/>
          <w:szCs w:val="28"/>
          <w:highlight w:val="none"/>
        </w:rPr>
        <w:t>2.法定代表人证明或授权委托书</w:t>
      </w:r>
      <w:bookmarkEnd w:id="111"/>
      <w:bookmarkEnd w:id="112"/>
      <w:bookmarkStart w:id="113" w:name="_Toc88209956"/>
      <w:bookmarkStart w:id="114" w:name="_Toc87616393"/>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rPr>
        <w:t>.资格审查资料</w:t>
      </w:r>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lang w:val="en-US" w:eastAsia="zh-CN"/>
        </w:rPr>
        <w:t>4</w:t>
      </w:r>
      <w:r>
        <w:rPr>
          <w:rFonts w:hint="eastAsia" w:ascii="仿宋_GB2312" w:eastAsia="仿宋_GB2312"/>
          <w:color w:val="auto"/>
          <w:sz w:val="28"/>
          <w:szCs w:val="28"/>
          <w:highlight w:val="none"/>
        </w:rPr>
        <w:t>.拟投入本项目的项目负责人情况表</w:t>
      </w:r>
    </w:p>
    <w:p>
      <w:pPr>
        <w:spacing w:line="600" w:lineRule="exac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报价表</w:t>
      </w:r>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.其他资料</w:t>
      </w:r>
      <w:bookmarkEnd w:id="113"/>
      <w:bookmarkEnd w:id="114"/>
      <w:r>
        <w:rPr>
          <w:rFonts w:hint="eastAsia" w:ascii="仿宋_GB2312" w:eastAsia="仿宋_GB2312"/>
          <w:color w:val="auto"/>
          <w:sz w:val="28"/>
          <w:szCs w:val="28"/>
          <w:highlight w:val="none"/>
        </w:rPr>
        <w:cr/>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23"/>
        <w:rPr>
          <w:color w:val="auto"/>
          <w:highlight w:val="none"/>
        </w:rPr>
      </w:pPr>
    </w:p>
    <w:p>
      <w:pPr>
        <w:pStyle w:val="23"/>
        <w:rPr>
          <w:color w:val="auto"/>
          <w:highlight w:val="none"/>
        </w:rPr>
      </w:pPr>
    </w:p>
    <w:p>
      <w:pPr>
        <w:adjustRightInd w:val="0"/>
        <w:snapToGrid w:val="0"/>
        <w:spacing w:beforeLines="50" w:afterLines="50" w:line="600" w:lineRule="exact"/>
        <w:jc w:val="both"/>
        <w:rPr>
          <w:rFonts w:ascii="方正小标宋简体" w:eastAsia="方正小标宋简体"/>
          <w:color w:val="auto"/>
          <w:sz w:val="44"/>
          <w:szCs w:val="44"/>
          <w:highlight w:val="none"/>
        </w:rPr>
      </w:pPr>
    </w:p>
    <w:p>
      <w:pPr>
        <w:adjustRightInd w:val="0"/>
        <w:snapToGrid w:val="0"/>
        <w:spacing w:beforeLines="50" w:afterLines="50" w:line="600" w:lineRule="exact"/>
        <w:jc w:val="both"/>
        <w:rPr>
          <w:rFonts w:ascii="方正小标宋简体" w:eastAsia="方正小标宋简体"/>
          <w:color w:val="auto"/>
          <w:sz w:val="44"/>
          <w:szCs w:val="44"/>
          <w:highlight w:val="none"/>
        </w:rPr>
      </w:pPr>
    </w:p>
    <w:p>
      <w:pPr>
        <w:pStyle w:val="4"/>
        <w:rPr>
          <w:rFonts w:asciiTheme="minorEastAsia" w:hAnsiTheme="minorEastAsia" w:eastAsiaTheme="minorEastAsia"/>
          <w:color w:val="auto"/>
          <w:sz w:val="28"/>
          <w:szCs w:val="28"/>
          <w:highlight w:val="none"/>
        </w:rPr>
      </w:pPr>
      <w:bookmarkStart w:id="115" w:name="_Toc88209957"/>
      <w:bookmarkStart w:id="116" w:name="_Toc87616394"/>
      <w:bookmarkStart w:id="117" w:name="_Toc6313"/>
      <w:bookmarkStart w:id="118" w:name="_Toc12665"/>
      <w:bookmarkStart w:id="119" w:name="_Toc28619645"/>
      <w:r>
        <w:rPr>
          <w:rFonts w:hint="eastAsia" w:asciiTheme="minorEastAsia" w:hAnsiTheme="minorEastAsia" w:eastAsiaTheme="minorEastAsia"/>
          <w:color w:val="auto"/>
          <w:sz w:val="28"/>
          <w:szCs w:val="28"/>
          <w:highlight w:val="none"/>
        </w:rPr>
        <w:t>1.响应函</w:t>
      </w:r>
      <w:bookmarkEnd w:id="115"/>
      <w:bookmarkEnd w:id="116"/>
      <w:bookmarkEnd w:id="117"/>
      <w:bookmarkEnd w:id="118"/>
      <w:bookmarkEnd w:id="119"/>
    </w:p>
    <w:p>
      <w:pPr>
        <w:spacing w:line="360" w:lineRule="auto"/>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1.1响应函</w:t>
      </w:r>
    </w:p>
    <w:p>
      <w:pPr>
        <w:spacing w:line="360" w:lineRule="auto"/>
        <w:rPr>
          <w:rFonts w:ascii="仿宋_GB2312" w:hAnsi="黑体" w:eastAsia="仿宋_GB2312"/>
          <w:color w:val="auto"/>
          <w:sz w:val="28"/>
          <w:szCs w:val="28"/>
          <w:highlight w:val="none"/>
          <w:u w:val="single"/>
        </w:rPr>
      </w:pPr>
    </w:p>
    <w:p>
      <w:pPr>
        <w:spacing w:line="360" w:lineRule="auto"/>
        <w:rPr>
          <w:rFonts w:ascii="仿宋_GB2312" w:hAnsi="黑体" w:eastAsia="仿宋_GB2312"/>
          <w:color w:val="auto"/>
          <w:sz w:val="28"/>
          <w:szCs w:val="28"/>
          <w:highlight w:val="none"/>
          <w:u w:val="single"/>
        </w:rPr>
      </w:pPr>
      <w:r>
        <w:rPr>
          <w:rFonts w:hint="eastAsia" w:ascii="仿宋_GB2312" w:hAnsi="黑体" w:eastAsia="仿宋_GB2312"/>
          <w:color w:val="auto"/>
          <w:sz w:val="28"/>
          <w:szCs w:val="28"/>
          <w:highlight w:val="none"/>
          <w:u w:val="single"/>
        </w:rPr>
        <w:t>至（采购人名称）：</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1.我方已仔细研究了</w:t>
      </w:r>
      <w:r>
        <w:rPr>
          <w:rFonts w:hint="eastAsia" w:ascii="仿宋_GB2312" w:hAnsi="黑体" w:eastAsia="仿宋_GB2312"/>
          <w:color w:val="auto"/>
          <w:sz w:val="28"/>
          <w:szCs w:val="28"/>
          <w:highlight w:val="none"/>
          <w:u w:val="single"/>
        </w:rPr>
        <w:t xml:space="preserve">（项目名称、项目编号、标段/标包号）   </w:t>
      </w:r>
      <w:r>
        <w:rPr>
          <w:rFonts w:hint="eastAsia" w:ascii="仿宋_GB2312" w:hAnsi="黑体" w:eastAsia="仿宋_GB2312"/>
          <w:color w:val="auto"/>
          <w:sz w:val="28"/>
          <w:szCs w:val="28"/>
          <w:highlight w:val="none"/>
        </w:rPr>
        <w:t>采购文件的全部内容，愿意以含税价人民币（大写）</w:t>
      </w:r>
      <w:r>
        <w:rPr>
          <w:rFonts w:hint="eastAsia" w:ascii="仿宋_GB2312" w:hAnsi="黑体" w:eastAsia="仿宋_GB2312"/>
          <w:color w:val="auto"/>
          <w:sz w:val="28"/>
          <w:szCs w:val="28"/>
          <w:highlight w:val="none"/>
          <w:u w:val="single"/>
        </w:rPr>
        <w:t xml:space="preserve">                </w:t>
      </w:r>
      <w:r>
        <w:rPr>
          <w:rFonts w:hint="eastAsia" w:ascii="仿宋_GB2312" w:hAnsi="黑体" w:eastAsia="仿宋_GB2312"/>
          <w:color w:val="auto"/>
          <w:sz w:val="28"/>
          <w:szCs w:val="28"/>
          <w:highlight w:val="none"/>
        </w:rPr>
        <w:t>(</w:t>
      </w:r>
      <w:r>
        <w:rPr>
          <w:rFonts w:hint="eastAsia" w:ascii="宋体" w:hAnsi="宋体" w:eastAsia="仿宋_GB2312"/>
          <w:color w:val="auto"/>
          <w:sz w:val="28"/>
          <w:szCs w:val="28"/>
          <w:highlight w:val="none"/>
        </w:rPr>
        <w:t>¥</w:t>
      </w:r>
      <w:r>
        <w:rPr>
          <w:rFonts w:hint="eastAsia" w:ascii="仿宋_GB2312" w:hAnsi="黑体" w:eastAsia="仿宋_GB2312"/>
          <w:color w:val="auto"/>
          <w:sz w:val="28"/>
          <w:szCs w:val="28"/>
          <w:highlight w:val="none"/>
          <w:u w:val="single"/>
        </w:rPr>
        <w:tab/>
      </w:r>
      <w:r>
        <w:rPr>
          <w:rFonts w:hint="eastAsia" w:ascii="仿宋_GB2312" w:hAnsi="黑体" w:eastAsia="仿宋_GB2312"/>
          <w:color w:val="auto"/>
          <w:sz w:val="28"/>
          <w:szCs w:val="28"/>
          <w:highlight w:val="none"/>
          <w:u w:val="single"/>
        </w:rPr>
        <w:tab/>
      </w:r>
      <w:r>
        <w:rPr>
          <w:rFonts w:hint="eastAsia" w:ascii="仿宋_GB2312" w:hAnsi="黑体" w:eastAsia="仿宋_GB2312"/>
          <w:color w:val="auto"/>
          <w:sz w:val="28"/>
          <w:szCs w:val="28"/>
          <w:highlight w:val="none"/>
          <w:u w:val="single"/>
        </w:rPr>
        <w:t xml:space="preserve">  </w:t>
      </w:r>
      <w:r>
        <w:rPr>
          <w:rFonts w:hint="eastAsia" w:ascii="仿宋_GB2312" w:hAnsi="黑体" w:eastAsia="仿宋_GB2312"/>
          <w:color w:val="auto"/>
          <w:sz w:val="28"/>
          <w:szCs w:val="28"/>
          <w:highlight w:val="none"/>
          <w:u w:val="single"/>
        </w:rPr>
        <w:tab/>
      </w:r>
      <w:r>
        <w:rPr>
          <w:rFonts w:hint="eastAsia" w:ascii="仿宋_GB2312" w:hAnsi="黑体" w:eastAsia="仿宋_GB2312"/>
          <w:color w:val="auto"/>
          <w:sz w:val="28"/>
          <w:szCs w:val="28"/>
          <w:highlight w:val="none"/>
          <w:u w:val="single"/>
        </w:rPr>
        <w:tab/>
      </w:r>
      <w:r>
        <w:rPr>
          <w:rFonts w:hint="eastAsia" w:ascii="仿宋_GB2312" w:hAnsi="黑体" w:eastAsia="仿宋_GB2312"/>
          <w:color w:val="auto"/>
          <w:sz w:val="28"/>
          <w:szCs w:val="28"/>
          <w:highlight w:val="none"/>
        </w:rPr>
        <w:t>）的报价（其中，不含税价为</w:t>
      </w:r>
      <w:r>
        <w:rPr>
          <w:rFonts w:hint="eastAsia" w:ascii="仿宋_GB2312" w:hAnsi="黑体" w:eastAsia="仿宋_GB2312"/>
          <w:color w:val="auto"/>
          <w:sz w:val="28"/>
          <w:szCs w:val="28"/>
          <w:highlight w:val="none"/>
          <w:u w:val="single"/>
        </w:rPr>
        <w:t xml:space="preserve">       </w:t>
      </w:r>
      <w:r>
        <w:rPr>
          <w:rFonts w:hint="eastAsia" w:ascii="仿宋_GB2312" w:hAnsi="黑体" w:eastAsia="仿宋_GB2312"/>
          <w:color w:val="auto"/>
          <w:sz w:val="28"/>
          <w:szCs w:val="28"/>
          <w:highlight w:val="none"/>
        </w:rPr>
        <w:t>；增值税为</w:t>
      </w:r>
      <w:r>
        <w:rPr>
          <w:rFonts w:hint="eastAsia" w:ascii="仿宋_GB2312" w:hAnsi="黑体" w:eastAsia="仿宋_GB2312"/>
          <w:color w:val="auto"/>
          <w:sz w:val="28"/>
          <w:szCs w:val="28"/>
          <w:highlight w:val="none"/>
          <w:u w:val="single"/>
        </w:rPr>
        <w:t xml:space="preserve">       </w:t>
      </w:r>
      <w:r>
        <w:rPr>
          <w:rFonts w:hint="eastAsia" w:ascii="仿宋_GB2312" w:hAnsi="黑体" w:eastAsia="仿宋_GB2312"/>
          <w:color w:val="auto"/>
          <w:sz w:val="28"/>
          <w:szCs w:val="28"/>
          <w:highlight w:val="none"/>
        </w:rPr>
        <w:t>）完成/提供本项目</w:t>
      </w:r>
      <w:r>
        <w:rPr>
          <w:rFonts w:hint="eastAsia" w:ascii="仿宋_GB2312" w:eastAsia="仿宋_GB2312" w:hAnsiTheme="minorEastAsia"/>
          <w:color w:val="auto"/>
          <w:sz w:val="28"/>
          <w:szCs w:val="28"/>
          <w:highlight w:val="none"/>
          <w:lang w:eastAsia="zh-CN"/>
        </w:rPr>
        <w:t>☑</w:t>
      </w:r>
      <w:r>
        <w:rPr>
          <w:rFonts w:hint="eastAsia" w:ascii="仿宋_GB2312" w:hAnsi="黑体" w:eastAsia="仿宋_GB2312"/>
          <w:color w:val="auto"/>
          <w:sz w:val="28"/>
          <w:szCs w:val="28"/>
          <w:highlight w:val="none"/>
        </w:rPr>
        <w:t xml:space="preserve">工程 </w:t>
      </w:r>
      <w:r>
        <w:rPr>
          <w:rFonts w:hint="eastAsia" w:ascii="仿宋_GB2312" w:eastAsia="仿宋_GB2312" w:hAnsiTheme="minorEastAsia"/>
          <w:color w:val="auto"/>
          <w:sz w:val="28"/>
          <w:szCs w:val="28"/>
          <w:highlight w:val="none"/>
        </w:rPr>
        <w:t>□</w:t>
      </w:r>
      <w:r>
        <w:rPr>
          <w:rFonts w:hint="eastAsia" w:ascii="仿宋_GB2312" w:hAnsi="黑体" w:eastAsia="仿宋_GB2312"/>
          <w:color w:val="auto"/>
          <w:sz w:val="28"/>
          <w:szCs w:val="28"/>
          <w:highlight w:val="none"/>
        </w:rPr>
        <w:t>货物</w:t>
      </w:r>
      <w:r>
        <w:rPr>
          <w:rFonts w:hint="eastAsia" w:ascii="仿宋_GB2312" w:eastAsia="仿宋_GB2312" w:hAnsiTheme="minorEastAsia"/>
          <w:color w:val="auto"/>
          <w:sz w:val="28"/>
          <w:szCs w:val="28"/>
          <w:highlight w:val="none"/>
        </w:rPr>
        <w:t>□</w:t>
      </w:r>
      <w:r>
        <w:rPr>
          <w:rFonts w:hint="eastAsia" w:ascii="仿宋_GB2312" w:hAnsi="黑体" w:eastAsia="仿宋_GB2312"/>
          <w:color w:val="auto"/>
          <w:sz w:val="28"/>
          <w:szCs w:val="28"/>
          <w:highlight w:val="none"/>
        </w:rPr>
        <w:t>服务并按合同约定履行义务。</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2.我方响应文件包括下列内容：</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1</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响应函</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2</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法定代表人证明或授权委托书</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3</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资格审查资料</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4</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拟投入本项目的项目负责人情况表</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5</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报价表</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6</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其他资料</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响应文件的上述组成部分如有不一致的内容，以响应函为准。</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3.我方完全理解询价文件中所有要求均为实质性响应条款，如有任何一条负偏离或者不满足将导致询价无效。由于我方提供资料不实或与需求书中所有条款不符而造成的责任和后果由我方承担。</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4</w:t>
      </w: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我方承诺在</w:t>
      </w:r>
      <w:r>
        <w:rPr>
          <w:rFonts w:hint="eastAsia" w:ascii="仿宋_GB2312" w:hAnsi="黑体" w:eastAsia="仿宋_GB2312"/>
          <w:color w:val="auto"/>
          <w:sz w:val="28"/>
          <w:szCs w:val="28"/>
          <w:highlight w:val="none"/>
        </w:rPr>
        <w:t>采购</w:t>
      </w:r>
      <w:r>
        <w:rPr>
          <w:rFonts w:ascii="仿宋_GB2312" w:hAnsi="黑体" w:eastAsia="仿宋_GB2312"/>
          <w:color w:val="auto"/>
          <w:sz w:val="28"/>
          <w:szCs w:val="28"/>
          <w:highlight w:val="none"/>
        </w:rPr>
        <w:t>文件有效期内不撤销响应文件。</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5</w:t>
      </w: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如我方</w:t>
      </w:r>
      <w:r>
        <w:rPr>
          <w:rFonts w:hint="eastAsia" w:ascii="仿宋_GB2312" w:hAnsi="黑体" w:eastAsia="仿宋_GB2312"/>
          <w:color w:val="auto"/>
          <w:sz w:val="28"/>
          <w:szCs w:val="28"/>
          <w:highlight w:val="none"/>
        </w:rPr>
        <w:t>成交</w:t>
      </w:r>
      <w:r>
        <w:rPr>
          <w:rFonts w:ascii="仿宋_GB2312" w:hAnsi="黑体" w:eastAsia="仿宋_GB2312"/>
          <w:color w:val="auto"/>
          <w:sz w:val="28"/>
          <w:szCs w:val="28"/>
          <w:highlight w:val="none"/>
        </w:rPr>
        <w:t>，我方承诺：</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1）在收到成交通知书后，在成交通知书规定的期限内与你方签订合同；</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2）在签订合同时不向你方提出附加条件；</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3）按照采购文件要求提交履约保证金；</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4）在合同约定的期限内完成合同规定的全部义务。</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6</w:t>
      </w:r>
      <w:r>
        <w:rPr>
          <w:rFonts w:hint="eastAsia" w:ascii="仿宋_GB2312" w:hAnsi="黑体" w:eastAsia="仿宋_GB2312"/>
          <w:color w:val="auto"/>
          <w:sz w:val="28"/>
          <w:szCs w:val="28"/>
          <w:highlight w:val="none"/>
        </w:rPr>
        <w:t>.我方在此声明，所递交的响应文件及有关资料内容完整、真实和准确，且不存在</w:t>
      </w:r>
      <w:r>
        <w:rPr>
          <w:rFonts w:hint="eastAsia" w:ascii="仿宋_GB2312" w:hAnsi="黑体" w:eastAsia="仿宋_GB2312"/>
          <w:color w:val="auto"/>
          <w:sz w:val="28"/>
          <w:szCs w:val="28"/>
          <w:highlight w:val="none"/>
          <w:lang w:eastAsia="zh-CN"/>
        </w:rPr>
        <w:t>采购公告（采购邀请书）</w:t>
      </w:r>
      <w:r>
        <w:rPr>
          <w:rFonts w:hint="eastAsia" w:ascii="仿宋_GB2312" w:hAnsi="黑体" w:eastAsia="仿宋_GB2312"/>
          <w:color w:val="auto"/>
          <w:sz w:val="28"/>
          <w:szCs w:val="28"/>
          <w:highlight w:val="none"/>
        </w:rPr>
        <w:t>中供应商不得存在的情形。</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7</w:t>
      </w:r>
      <w:r>
        <w:rPr>
          <w:rFonts w:hint="eastAsia" w:ascii="仿宋_GB2312" w:hAnsi="黑体" w:eastAsia="仿宋_GB2312"/>
          <w:color w:val="auto"/>
          <w:sz w:val="28"/>
          <w:szCs w:val="28"/>
          <w:highlight w:val="none"/>
        </w:rPr>
        <w:t>.</w:t>
      </w:r>
      <w:r>
        <w:rPr>
          <w:rFonts w:hint="eastAsia" w:ascii="仿宋_GB2312" w:hAnsi="黑体" w:eastAsia="仿宋_GB2312"/>
          <w:color w:val="auto"/>
          <w:sz w:val="28"/>
          <w:szCs w:val="28"/>
          <w:highlight w:val="none"/>
          <w:u w:val="single"/>
        </w:rPr>
        <w:t xml:space="preserve">       （其他补充说明）</w:t>
      </w:r>
      <w:r>
        <w:rPr>
          <w:rFonts w:hint="eastAsia" w:ascii="仿宋_GB2312" w:hAnsi="黑体" w:eastAsia="仿宋_GB2312"/>
          <w:color w:val="auto"/>
          <w:sz w:val="28"/>
          <w:szCs w:val="28"/>
          <w:highlight w:val="none"/>
        </w:rPr>
        <w:t>。</w:t>
      </w:r>
    </w:p>
    <w:p>
      <w:pPr>
        <w:adjustRightInd w:val="0"/>
        <w:snapToGrid w:val="0"/>
        <w:spacing w:line="600" w:lineRule="exact"/>
        <w:ind w:left="1" w:firstLine="551" w:firstLineChars="197"/>
        <w:jc w:val="left"/>
        <w:rPr>
          <w:rFonts w:ascii="仿宋_GB2312" w:eastAsia="仿宋_GB2312" w:hAnsiTheme="minorEastAsia"/>
          <w:color w:val="auto"/>
          <w:sz w:val="28"/>
          <w:szCs w:val="28"/>
          <w:highlight w:val="none"/>
        </w:rPr>
      </w:pPr>
    </w:p>
    <w:p>
      <w:pPr>
        <w:adjustRightInd w:val="0"/>
        <w:snapToGrid w:val="0"/>
        <w:spacing w:line="600" w:lineRule="exact"/>
        <w:ind w:left="1" w:firstLine="551" w:firstLineChars="197"/>
        <w:jc w:val="righ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供应商：</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（单位公章）</w:t>
      </w:r>
    </w:p>
    <w:p>
      <w:pPr>
        <w:adjustRightInd w:val="0"/>
        <w:snapToGrid w:val="0"/>
        <w:spacing w:line="600" w:lineRule="exact"/>
        <w:ind w:left="1" w:firstLine="551" w:firstLineChars="197"/>
        <w:jc w:val="righ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法定代表人或委托代理人：</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（签字或盖章）</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地址：</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电子邮箱：</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传真：</w:t>
      </w:r>
      <w:r>
        <w:rPr>
          <w:rFonts w:hint="eastAsia" w:ascii="仿宋_GB2312" w:eastAsia="仿宋_GB2312" w:hAnsiTheme="minorEastAsia"/>
          <w:color w:val="auto"/>
          <w:sz w:val="28"/>
          <w:szCs w:val="28"/>
          <w:highlight w:val="none"/>
          <w:u w:val="single"/>
        </w:rPr>
        <w:t xml:space="preserve">                              </w:t>
      </w:r>
    </w:p>
    <w:p>
      <w:pPr>
        <w:spacing w:line="600" w:lineRule="exact"/>
        <w:ind w:left="1" w:firstLine="551" w:firstLineChars="197"/>
        <w:jc w:val="right"/>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年</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月</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日</w:t>
      </w:r>
    </w:p>
    <w:p>
      <w:pPr>
        <w:pStyle w:val="4"/>
        <w:rPr>
          <w:rFonts w:hint="eastAsia" w:asciiTheme="minorEastAsia" w:hAnsiTheme="minorEastAsia" w:eastAsiaTheme="minorEastAsia"/>
          <w:color w:val="auto"/>
          <w:sz w:val="28"/>
          <w:szCs w:val="28"/>
          <w:highlight w:val="none"/>
        </w:rPr>
      </w:pPr>
      <w:bookmarkStart w:id="120" w:name="_Toc88209958"/>
      <w:bookmarkStart w:id="121" w:name="_Toc29833"/>
      <w:bookmarkStart w:id="122" w:name="_Toc22527"/>
      <w:bookmarkStart w:id="123" w:name="_Toc87616395"/>
    </w:p>
    <w:p>
      <w:pPr>
        <w:rPr>
          <w:rFonts w:hint="eastAsia"/>
        </w:rPr>
      </w:pPr>
    </w:p>
    <w:p>
      <w:pPr>
        <w:pStyle w:val="4"/>
        <w:numPr>
          <w:ilvl w:val="0"/>
          <w:numId w:val="4"/>
        </w:numPr>
        <w:ind w:left="562" w:leftChars="0" w:hanging="562" w:hangingChars="200"/>
        <w:rPr>
          <w:rFonts w:hint="eastAsia" w:asciiTheme="minorEastAsia" w:hAnsiTheme="minorEastAsia" w:eastAsiaTheme="minorEastAsia"/>
          <w:color w:val="auto"/>
          <w:sz w:val="28"/>
          <w:szCs w:val="28"/>
          <w:highlight w:val="none"/>
        </w:rPr>
      </w:pPr>
      <w:r>
        <w:rPr>
          <w:rFonts w:hint="eastAsia" w:asciiTheme="minorEastAsia" w:hAnsiTheme="minorEastAsia" w:eastAsiaTheme="minorEastAsia"/>
          <w:color w:val="auto"/>
          <w:sz w:val="28"/>
          <w:szCs w:val="28"/>
          <w:highlight w:val="none"/>
        </w:rPr>
        <w:t>法定代表人证明或授权委托书</w:t>
      </w:r>
      <w:bookmarkEnd w:id="120"/>
      <w:bookmarkEnd w:id="121"/>
      <w:bookmarkEnd w:id="122"/>
      <w:bookmarkEnd w:id="123"/>
    </w:p>
    <w:p>
      <w:pPr>
        <w:pStyle w:val="4"/>
        <w:numPr>
          <w:ilvl w:val="0"/>
          <w:numId w:val="0"/>
        </w:numPr>
        <w:ind w:leftChars="-200" w:firstLine="562" w:firstLineChars="200"/>
        <w:rPr>
          <w:color w:val="auto"/>
          <w:highlight w:val="none"/>
        </w:rPr>
      </w:pPr>
      <w:r>
        <w:rPr>
          <w:rFonts w:hint="eastAsia" w:ascii="仿宋_GB2312" w:hAnsi="黑体" w:eastAsia="仿宋_GB2312"/>
          <w:color w:val="auto"/>
          <w:sz w:val="28"/>
          <w:szCs w:val="28"/>
          <w:highlight w:val="none"/>
        </w:rPr>
        <w:t>2.1法定代表人证明格式</w:t>
      </w:r>
    </w:p>
    <w:p>
      <w:pPr>
        <w:widowControl/>
        <w:adjustRightInd w:val="0"/>
        <w:snapToGrid w:val="0"/>
        <w:spacing w:beforeLines="50" w:afterLines="50" w:line="600" w:lineRule="exact"/>
        <w:jc w:val="center"/>
        <w:rPr>
          <w:rFonts w:ascii="方正小标宋简体" w:hAnsi="Times New Roman" w:eastAsia="方正小标宋简体" w:cs="Tahoma"/>
          <w:color w:val="auto"/>
          <w:kern w:val="0"/>
          <w:sz w:val="44"/>
          <w:szCs w:val="44"/>
          <w:highlight w:val="none"/>
        </w:rPr>
      </w:pPr>
      <w:r>
        <w:rPr>
          <w:rFonts w:hint="eastAsia" w:ascii="方正小标宋简体" w:hAnsi="Times New Roman" w:eastAsia="方正小标宋简体" w:cs="Tahoma"/>
          <w:color w:val="auto"/>
          <w:kern w:val="0"/>
          <w:sz w:val="44"/>
          <w:szCs w:val="44"/>
          <w:highlight w:val="none"/>
        </w:rPr>
        <w:t>法定代表人证明书</w:t>
      </w:r>
    </w:p>
    <w:p>
      <w:pPr>
        <w:pStyle w:val="40"/>
        <w:snapToGrid w:val="0"/>
        <w:spacing w:after="0" w:line="600" w:lineRule="exact"/>
        <w:jc w:val="both"/>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2"/>
          <w:szCs w:val="32"/>
          <w:highlight w:val="none"/>
        </w:rPr>
        <w:t xml:space="preserve">     </w:t>
      </w:r>
      <w:r>
        <w:rPr>
          <w:rFonts w:hint="eastAsia" w:ascii="仿宋_GB2312" w:hAnsi="宋体" w:eastAsia="仿宋_GB2312" w:cs="Times New Roman"/>
          <w:color w:val="auto"/>
          <w:sz w:val="30"/>
          <w:szCs w:val="30"/>
          <w:highlight w:val="none"/>
        </w:rPr>
        <w:t>供应商名称：</w:t>
      </w:r>
      <w:r>
        <w:rPr>
          <w:rFonts w:hint="eastAsia" w:ascii="仿宋_GB2312" w:hAnsi="宋体" w:eastAsia="仿宋_GB2312" w:cs="Times New Roman"/>
          <w:color w:val="auto"/>
          <w:sz w:val="30"/>
          <w:szCs w:val="30"/>
          <w:highlight w:val="none"/>
          <w:u w:val="single"/>
        </w:rPr>
        <w:t xml:space="preserve">                          </w:t>
      </w:r>
    </w:p>
    <w:p>
      <w:pPr>
        <w:pStyle w:val="14"/>
        <w:snapToGrid w:val="0"/>
        <w:spacing w:line="600" w:lineRule="exact"/>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0"/>
          <w:szCs w:val="30"/>
          <w:highlight w:val="none"/>
        </w:rPr>
        <w:t xml:space="preserve">     单位性质：</w:t>
      </w:r>
      <w:r>
        <w:rPr>
          <w:rFonts w:hint="eastAsia" w:ascii="仿宋_GB2312" w:hAnsi="宋体" w:eastAsia="仿宋_GB2312" w:cs="Times New Roman"/>
          <w:color w:val="auto"/>
          <w:sz w:val="30"/>
          <w:szCs w:val="30"/>
          <w:highlight w:val="none"/>
          <w:u w:val="single"/>
        </w:rPr>
        <w:t xml:space="preserve">                            </w:t>
      </w:r>
    </w:p>
    <w:p>
      <w:pPr>
        <w:pStyle w:val="39"/>
        <w:snapToGrid w:val="0"/>
        <w:spacing w:after="0" w:line="600" w:lineRule="exact"/>
        <w:ind w:firstLine="750" w:firstLineChars="250"/>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0"/>
          <w:szCs w:val="30"/>
          <w:highlight w:val="none"/>
        </w:rPr>
        <w:t>地    址：</w:t>
      </w:r>
      <w:r>
        <w:rPr>
          <w:rFonts w:hint="eastAsia" w:ascii="仿宋_GB2312" w:hAnsi="宋体" w:eastAsia="仿宋_GB2312" w:cs="Times New Roman"/>
          <w:color w:val="auto"/>
          <w:sz w:val="30"/>
          <w:szCs w:val="30"/>
          <w:highlight w:val="none"/>
          <w:u w:val="single"/>
        </w:rPr>
        <w:t xml:space="preserve">                            </w:t>
      </w:r>
    </w:p>
    <w:p>
      <w:pPr>
        <w:pStyle w:val="14"/>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成立时间：</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年</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月</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日</w:t>
      </w:r>
    </w:p>
    <w:p>
      <w:pPr>
        <w:pStyle w:val="14"/>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经营期限：</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w:t>
      </w:r>
    </w:p>
    <w:p>
      <w:pPr>
        <w:pStyle w:val="14"/>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姓名：</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性别：</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年龄：</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身份证号码：</w:t>
      </w:r>
      <w:r>
        <w:rPr>
          <w:rFonts w:hint="eastAsia" w:ascii="仿宋_GB2312" w:hAnsi="宋体" w:eastAsia="仿宋_GB2312" w:cs="Times New Roman"/>
          <w:color w:val="auto"/>
          <w:sz w:val="30"/>
          <w:szCs w:val="30"/>
          <w:highlight w:val="none"/>
          <w:u w:val="single"/>
        </w:rPr>
        <w:t xml:space="preserve">          </w:t>
      </w:r>
    </w:p>
    <w:p>
      <w:pPr>
        <w:pStyle w:val="14"/>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职务：</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系</w:t>
      </w:r>
      <w:r>
        <w:rPr>
          <w:rFonts w:hint="eastAsia" w:ascii="仿宋_GB2312" w:hAnsi="宋体" w:eastAsia="仿宋_GB2312" w:cs="Times New Roman"/>
          <w:color w:val="auto"/>
          <w:sz w:val="30"/>
          <w:szCs w:val="30"/>
          <w:highlight w:val="none"/>
          <w:u w:val="single"/>
        </w:rPr>
        <w:t xml:space="preserve">     (供应商名称)       </w:t>
      </w:r>
      <w:r>
        <w:rPr>
          <w:rFonts w:hint="eastAsia" w:ascii="仿宋_GB2312" w:hAnsi="宋体" w:eastAsia="仿宋_GB2312" w:cs="Times New Roman"/>
          <w:color w:val="auto"/>
          <w:sz w:val="30"/>
          <w:szCs w:val="30"/>
          <w:highlight w:val="none"/>
        </w:rPr>
        <w:t xml:space="preserve"> 的法定代表人。</w:t>
      </w:r>
    </w:p>
    <w:p>
      <w:pPr>
        <w:pStyle w:val="14"/>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特此证明。</w:t>
      </w:r>
    </w:p>
    <w:p>
      <w:pPr>
        <w:adjustRightInd w:val="0"/>
        <w:snapToGrid w:val="0"/>
        <w:spacing w:line="600" w:lineRule="exact"/>
        <w:ind w:firstLine="702" w:firstLineChars="234"/>
        <w:rPr>
          <w:rFonts w:ascii="仿宋_GB2312" w:hAnsi="宋体" w:eastAsia="仿宋_GB2312" w:cs="Times New Roman"/>
          <w:color w:val="auto"/>
          <w:sz w:val="32"/>
          <w:szCs w:val="32"/>
          <w:highlight w:val="none"/>
        </w:rPr>
      </w:pPr>
      <w:r>
        <w:rPr>
          <w:rFonts w:hint="eastAsia" w:ascii="仿宋_GB2312" w:hAnsi="宋体" w:eastAsia="仿宋_GB2312"/>
          <w:color w:val="auto"/>
          <w:sz w:val="30"/>
          <w:szCs w:val="30"/>
          <w:highlight w:val="none"/>
        </w:rPr>
        <w:t>附：法定代表人身份证(正反两面)复印件</w:t>
      </w:r>
    </w:p>
    <w:p>
      <w:pPr>
        <w:pStyle w:val="14"/>
        <w:snapToGrid w:val="0"/>
        <w:spacing w:line="600" w:lineRule="exact"/>
        <w:ind w:firstLine="3663" w:firstLineChars="1221"/>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供应商：</w:t>
      </w:r>
      <w:r>
        <w:rPr>
          <w:rFonts w:hint="eastAsia" w:ascii="仿宋_GB2312" w:hAnsi="宋体" w:eastAsia="仿宋_GB2312" w:cs="Times New Roman"/>
          <w:color w:val="auto"/>
          <w:sz w:val="30"/>
          <w:szCs w:val="30"/>
          <w:highlight w:val="none"/>
          <w:u w:val="single"/>
        </w:rPr>
        <w:t xml:space="preserve">       (盖单位章)      </w:t>
      </w:r>
    </w:p>
    <w:p>
      <w:pPr>
        <w:widowControl/>
        <w:adjustRightInd w:val="0"/>
        <w:snapToGrid w:val="0"/>
        <w:spacing w:line="600" w:lineRule="exact"/>
        <w:jc w:val="right"/>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日  期：</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年</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月</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日</w:t>
      </w:r>
    </w:p>
    <w:p>
      <w:pPr>
        <w:widowControl/>
        <w:adjustRightInd w:val="0"/>
        <w:snapToGrid w:val="0"/>
        <w:spacing w:line="600" w:lineRule="exact"/>
        <w:jc w:val="left"/>
        <w:rPr>
          <w:rFonts w:ascii="仿宋_GB2312" w:hAnsi="宋体" w:eastAsia="仿宋_GB2312" w:cs="宋体"/>
          <w:color w:val="auto"/>
          <w:kern w:val="0"/>
          <w:sz w:val="28"/>
          <w:szCs w:val="28"/>
          <w:highlight w:val="none"/>
        </w:rPr>
      </w:pPr>
      <w:r>
        <w:rPr>
          <w:rFonts w:ascii="仿宋_GB2312" w:hAnsi="宋体" w:eastAsia="仿宋_GB2312" w:cs="宋体"/>
          <w:color w:val="auto"/>
          <w:kern w:val="0"/>
          <w:sz w:val="28"/>
          <w:szCs w:val="28"/>
          <w:highlight w:val="none"/>
        </w:rPr>
        <mc:AlternateContent>
          <mc:Choice Requires="wps">
            <w:drawing>
              <wp:anchor distT="0" distB="0" distL="114300" distR="114300" simplePos="0" relativeHeight="251665408" behindDoc="0" locked="0" layoutInCell="1" allowOverlap="1">
                <wp:simplePos x="0" y="0"/>
                <wp:positionH relativeFrom="column">
                  <wp:posOffset>406400</wp:posOffset>
                </wp:positionH>
                <wp:positionV relativeFrom="paragraph">
                  <wp:posOffset>187960</wp:posOffset>
                </wp:positionV>
                <wp:extent cx="3771900" cy="1287780"/>
                <wp:effectExtent l="4445" t="5080" r="14605" b="21590"/>
                <wp:wrapSquare wrapText="bothSides"/>
                <wp:docPr id="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771900" cy="1287780"/>
                        </a:xfrm>
                        <a:prstGeom prst="rect">
                          <a:avLst/>
                        </a:prstGeom>
                        <a:solidFill>
                          <a:srgbClr val="FFFFFF"/>
                        </a:solidFill>
                        <a:ln w="9525">
                          <a:solidFill>
                            <a:srgbClr val="000000"/>
                          </a:solidFill>
                          <a:miter lim="800000"/>
                        </a:ln>
                        <a:effectLst/>
                      </wps:spPr>
                      <wps:txbx>
                        <w:txbxContent>
                          <w:p>
                            <w:pPr>
                              <w:jc w:val="center"/>
                              <w:rPr>
                                <w:sz w:val="24"/>
                              </w:rPr>
                            </w:pPr>
                          </w:p>
                          <w:p>
                            <w:pPr>
                              <w:jc w:val="center"/>
                              <w:rPr>
                                <w:color w:val="FF0000"/>
                                <w:sz w:val="24"/>
                              </w:rPr>
                            </w:pPr>
                          </w:p>
                          <w:p>
                            <w:pPr>
                              <w:jc w:val="center"/>
                              <w:rPr>
                                <w:sz w:val="24"/>
                              </w:rPr>
                            </w:pPr>
                            <w:r>
                              <w:rPr>
                                <w:rFonts w:hint="eastAsia"/>
                                <w:sz w:val="24"/>
                              </w:rPr>
                              <w:t>身份证复印件（含正反面）</w:t>
                            </w:r>
                          </w:p>
                        </w:txbxContent>
                      </wps:txbx>
                      <wps:bodyPr rot="0" vert="horz" wrap="square" lIns="91440" tIns="45720" rIns="91440" bIns="45720" anchor="t" anchorCtr="0" upright="1">
                        <a:noAutofit/>
                      </wps:bodyPr>
                    </wps:wsp>
                  </a:graphicData>
                </a:graphic>
              </wp:anchor>
            </w:drawing>
          </mc:Choice>
          <mc:Fallback>
            <w:pict>
              <v:shape id="文本框 2" o:spid="_x0000_s1026" o:spt="202" type="#_x0000_t202" style="position:absolute;left:0pt;margin-left:32pt;margin-top:14.8pt;height:101.4pt;width:297pt;mso-wrap-distance-bottom:0pt;mso-wrap-distance-left:9pt;mso-wrap-distance-right:9pt;mso-wrap-distance-top:0pt;z-index:251665408;mso-width-relative:page;mso-height-relative:page;" fillcolor="#FFFFFF" filled="t" stroked="t" coordsize="21600,21600" o:gfxdata="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2qfxf2AAAAAkBAAAPAAAAAAAAAAEA&#10;IAAAACIAAABkcnMvZG93bnJldi54bWxQSwECFAAUAAAACACHTuJArjLyqUgCAACWBAAADgAAAAAA&#10;AAABACAAAAAnAQAAZHJzL2Uyb0RvYy54bWxQSwUGAAAAAAYABgBZAQAA4QUAAAAA&#10;">
                <v:fill on="t" focussize="0,0"/>
                <v:stroke color="#000000" miterlimit="8" joinstyle="miter"/>
                <v:imagedata o:title=""/>
                <o:lock v:ext="edit" aspectratio="f"/>
                <v:textbox>
                  <w:txbxContent>
                    <w:p>
                      <w:pPr>
                        <w:jc w:val="center"/>
                        <w:rPr>
                          <w:sz w:val="24"/>
                        </w:rPr>
                      </w:pPr>
                    </w:p>
                    <w:p>
                      <w:pPr>
                        <w:jc w:val="center"/>
                        <w:rPr>
                          <w:color w:val="FF0000"/>
                          <w:sz w:val="24"/>
                        </w:rPr>
                      </w:pPr>
                    </w:p>
                    <w:p>
                      <w:pPr>
                        <w:jc w:val="center"/>
                        <w:rPr>
                          <w:sz w:val="24"/>
                        </w:rPr>
                      </w:pPr>
                      <w:r>
                        <w:rPr>
                          <w:rFonts w:hint="eastAsia"/>
                          <w:sz w:val="24"/>
                        </w:rPr>
                        <w:t>身份证复印件（含正反面）</w:t>
                      </w:r>
                    </w:p>
                  </w:txbxContent>
                </v:textbox>
                <w10:wrap type="square"/>
              </v:shape>
            </w:pict>
          </mc:Fallback>
        </mc:AlternateContent>
      </w:r>
    </w:p>
    <w:p>
      <w:pPr>
        <w:widowControl/>
        <w:adjustRightInd w:val="0"/>
        <w:snapToGrid w:val="0"/>
        <w:spacing w:line="600" w:lineRule="exact"/>
        <w:jc w:val="left"/>
        <w:rPr>
          <w:rFonts w:ascii="仿宋_GB2312" w:hAnsi="宋体" w:eastAsia="仿宋_GB2312" w:cs="宋体"/>
          <w:color w:val="auto"/>
          <w:kern w:val="0"/>
          <w:sz w:val="28"/>
          <w:szCs w:val="28"/>
          <w:highlight w:val="none"/>
        </w:rPr>
      </w:pPr>
    </w:p>
    <w:p>
      <w:pPr>
        <w:widowControl/>
        <w:adjustRightInd w:val="0"/>
        <w:snapToGrid w:val="0"/>
        <w:spacing w:line="600" w:lineRule="exact"/>
        <w:jc w:val="left"/>
        <w:rPr>
          <w:rFonts w:ascii="仿宋_GB2312" w:hAnsi="宋体" w:eastAsia="仿宋_GB2312" w:cs="宋体"/>
          <w:color w:val="auto"/>
          <w:kern w:val="0"/>
          <w:sz w:val="28"/>
          <w:szCs w:val="28"/>
          <w:highlight w:val="none"/>
        </w:rPr>
      </w:pPr>
    </w:p>
    <w:p>
      <w:pPr>
        <w:widowControl/>
        <w:adjustRightInd w:val="0"/>
        <w:snapToGrid w:val="0"/>
        <w:spacing w:line="600" w:lineRule="exact"/>
        <w:jc w:val="left"/>
        <w:rPr>
          <w:rFonts w:ascii="仿宋_GB2312" w:hAnsi="宋体" w:eastAsia="仿宋_GB2312" w:cs="宋体"/>
          <w:color w:val="auto"/>
          <w:kern w:val="0"/>
          <w:sz w:val="28"/>
          <w:szCs w:val="28"/>
          <w:highlight w:val="none"/>
        </w:rPr>
      </w:pPr>
    </w:p>
    <w:p>
      <w:pPr>
        <w:adjustRightInd w:val="0"/>
        <w:snapToGrid w:val="0"/>
        <w:spacing w:line="600" w:lineRule="exact"/>
        <w:ind w:firstLine="480"/>
        <w:rPr>
          <w:rFonts w:ascii="仿宋_GB2312" w:eastAsia="仿宋_GB2312"/>
          <w:color w:val="auto"/>
          <w:highlight w:val="none"/>
        </w:rPr>
      </w:pPr>
      <w:r>
        <w:rPr>
          <w:rFonts w:hint="eastAsia" w:ascii="仿宋_GB2312" w:hAnsi="宋体" w:eastAsia="仿宋_GB2312"/>
          <w:color w:val="auto"/>
          <w:kern w:val="0"/>
          <w:szCs w:val="21"/>
          <w:highlight w:val="none"/>
        </w:rPr>
        <w:t>注：法定代表人证明书亦可采用工商行政管理局统一制订的格式。</w:t>
      </w:r>
    </w:p>
    <w:p>
      <w:pPr>
        <w:spacing w:line="360" w:lineRule="auto"/>
        <w:rPr>
          <w:color w:val="auto"/>
          <w:highlight w:val="none"/>
        </w:rPr>
      </w:pPr>
      <w:r>
        <w:rPr>
          <w:rFonts w:hint="eastAsia" w:ascii="宋体" w:hAnsi="宋体" w:cs="宋体"/>
          <w:color w:val="auto"/>
          <w:kern w:val="0"/>
          <w:sz w:val="28"/>
          <w:szCs w:val="28"/>
          <w:highlight w:val="none"/>
        </w:rPr>
        <w:br w:type="page"/>
      </w:r>
      <w:r>
        <w:rPr>
          <w:rFonts w:hint="eastAsia" w:ascii="仿宋_GB2312" w:hAnsi="黑体" w:eastAsia="仿宋_GB2312"/>
          <w:color w:val="auto"/>
          <w:sz w:val="28"/>
          <w:szCs w:val="28"/>
          <w:highlight w:val="none"/>
        </w:rPr>
        <w:t>2.2法人授权委托书</w:t>
      </w:r>
    </w:p>
    <w:p>
      <w:pPr>
        <w:adjustRightInd w:val="0"/>
        <w:snapToGrid w:val="0"/>
        <w:spacing w:beforeLines="50" w:afterLines="50" w:line="600" w:lineRule="exact"/>
        <w:jc w:val="center"/>
        <w:rPr>
          <w:rFonts w:ascii="方正小标宋简体" w:hAnsi="Times New Roman" w:eastAsia="方正小标宋简体" w:cs="Tahoma"/>
          <w:color w:val="auto"/>
          <w:kern w:val="0"/>
          <w:sz w:val="44"/>
          <w:szCs w:val="44"/>
          <w:highlight w:val="none"/>
        </w:rPr>
      </w:pPr>
      <w:r>
        <w:rPr>
          <w:rFonts w:hint="eastAsia" w:ascii="方正小标宋简体" w:hAnsi="Times New Roman" w:eastAsia="方正小标宋简体" w:cs="Tahoma"/>
          <w:color w:val="auto"/>
          <w:kern w:val="0"/>
          <w:sz w:val="44"/>
          <w:szCs w:val="44"/>
          <w:highlight w:val="none"/>
        </w:rPr>
        <w:t>法定代表人授权委托书</w:t>
      </w:r>
    </w:p>
    <w:p>
      <w:pPr>
        <w:adjustRightInd w:val="0"/>
        <w:snapToGrid w:val="0"/>
        <w:spacing w:line="600" w:lineRule="exact"/>
        <w:ind w:firstLine="600" w:firstLineChars="20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本人</w:t>
      </w:r>
      <w:r>
        <w:rPr>
          <w:rFonts w:hint="eastAsia" w:ascii="仿宋_GB2312" w:hAnsi="宋体" w:eastAsia="仿宋_GB2312"/>
          <w:color w:val="auto"/>
          <w:sz w:val="30"/>
          <w:szCs w:val="30"/>
          <w:highlight w:val="none"/>
          <w:u w:val="single"/>
        </w:rPr>
        <w:t xml:space="preserve">   (姓名)    </w:t>
      </w:r>
      <w:r>
        <w:rPr>
          <w:rFonts w:hint="eastAsia" w:ascii="仿宋_GB2312" w:hAnsi="宋体" w:eastAsia="仿宋_GB2312"/>
          <w:color w:val="auto"/>
          <w:sz w:val="30"/>
          <w:szCs w:val="30"/>
          <w:highlight w:val="none"/>
        </w:rPr>
        <w:t>系</w:t>
      </w:r>
      <w:r>
        <w:rPr>
          <w:rFonts w:hint="eastAsia" w:ascii="仿宋_GB2312" w:hAnsi="宋体" w:eastAsia="仿宋_GB2312"/>
          <w:color w:val="auto"/>
          <w:sz w:val="30"/>
          <w:szCs w:val="30"/>
          <w:highlight w:val="none"/>
          <w:u w:val="single"/>
        </w:rPr>
        <w:t xml:space="preserve">        (供应商名称)          </w:t>
      </w:r>
      <w:r>
        <w:rPr>
          <w:rFonts w:hint="eastAsia" w:ascii="仿宋_GB2312" w:hAnsi="宋体" w:eastAsia="仿宋_GB2312"/>
          <w:color w:val="auto"/>
          <w:sz w:val="30"/>
          <w:szCs w:val="30"/>
          <w:highlight w:val="none"/>
        </w:rPr>
        <w:t>的法定代表人，现授权</w:t>
      </w:r>
      <w:r>
        <w:rPr>
          <w:rFonts w:hint="eastAsia" w:ascii="仿宋_GB2312" w:hAnsi="宋体" w:eastAsia="仿宋_GB2312"/>
          <w:color w:val="auto"/>
          <w:sz w:val="30"/>
          <w:szCs w:val="30"/>
          <w:highlight w:val="none"/>
          <w:u w:val="single"/>
        </w:rPr>
        <w:t xml:space="preserve">   (姓名)   </w:t>
      </w:r>
      <w:r>
        <w:rPr>
          <w:rFonts w:hint="eastAsia" w:ascii="仿宋_GB2312" w:hAnsi="宋体" w:eastAsia="仿宋_GB2312"/>
          <w:color w:val="auto"/>
          <w:sz w:val="30"/>
          <w:szCs w:val="30"/>
          <w:highlight w:val="none"/>
        </w:rPr>
        <w:t>为我方代理人。代理人根据授权，以我方名义签署、澄清、说明、提交、撤回、修改</w:t>
      </w:r>
      <w:r>
        <w:rPr>
          <w:rFonts w:hint="eastAsia" w:ascii="仿宋_GB2312" w:hAnsi="宋体" w:eastAsia="仿宋_GB2312"/>
          <w:color w:val="auto"/>
          <w:sz w:val="30"/>
          <w:szCs w:val="30"/>
          <w:highlight w:val="none"/>
          <w:u w:val="single"/>
        </w:rPr>
        <w:t xml:space="preserve"> （项目名称、项目编号、标段/标包号）  </w:t>
      </w:r>
      <w:r>
        <w:rPr>
          <w:rFonts w:hint="eastAsia" w:ascii="仿宋_GB2312" w:hAnsi="宋体" w:eastAsia="仿宋_GB2312"/>
          <w:color w:val="auto"/>
          <w:sz w:val="30"/>
          <w:szCs w:val="30"/>
          <w:highlight w:val="none"/>
        </w:rPr>
        <w:t>的响应文件、签订合同和处理有关事宜，其法律后果由我方承担。</w:t>
      </w:r>
    </w:p>
    <w:p>
      <w:pPr>
        <w:adjustRightInd w:val="0"/>
        <w:snapToGrid w:val="0"/>
        <w:spacing w:line="600" w:lineRule="exact"/>
        <w:ind w:firstLine="59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委托期限：</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w:t>
      </w:r>
    </w:p>
    <w:p>
      <w:pPr>
        <w:adjustRightInd w:val="0"/>
        <w:snapToGrid w:val="0"/>
        <w:spacing w:line="600" w:lineRule="exact"/>
        <w:ind w:firstLine="59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代理人无转委托权。</w:t>
      </w:r>
    </w:p>
    <w:p>
      <w:pPr>
        <w:adjustRightInd w:val="0"/>
        <w:snapToGrid w:val="0"/>
        <w:spacing w:line="600" w:lineRule="exact"/>
        <w:ind w:firstLine="59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附：</w:t>
      </w:r>
      <w:r>
        <w:rPr>
          <w:rFonts w:hint="eastAsia" w:ascii="仿宋_GB2312" w:hAnsi="宋体" w:eastAsia="仿宋_GB2312"/>
          <w:color w:val="auto"/>
          <w:sz w:val="30"/>
          <w:szCs w:val="30"/>
          <w:highlight w:val="none"/>
          <w:lang w:val="en-US" w:eastAsia="zh-CN"/>
        </w:rPr>
        <w:t>1.</w:t>
      </w:r>
      <w:r>
        <w:rPr>
          <w:rFonts w:hint="eastAsia" w:ascii="仿宋_GB2312" w:hAnsi="宋体" w:eastAsia="仿宋_GB2312"/>
          <w:color w:val="auto"/>
          <w:sz w:val="30"/>
          <w:szCs w:val="30"/>
          <w:highlight w:val="none"/>
        </w:rPr>
        <w:t>委托代理人身份证(正反两面)复印件</w:t>
      </w:r>
    </w:p>
    <w:p>
      <w:pPr>
        <w:pStyle w:val="38"/>
        <w:ind w:firstLine="1200" w:firstLineChars="400"/>
        <w:rPr>
          <w:rFonts w:hint="eastAsia" w:ascii="仿宋_GB2312" w:hAnsi="宋体" w:eastAsia="仿宋_GB2312"/>
          <w:color w:val="auto"/>
          <w:sz w:val="30"/>
          <w:szCs w:val="30"/>
          <w:highlight w:val="none"/>
          <w:lang w:val="en-US" w:eastAsia="zh-CN"/>
        </w:rPr>
      </w:pPr>
      <w:r>
        <w:rPr>
          <w:rFonts w:hint="eastAsia" w:ascii="仿宋_GB2312" w:hAnsi="宋体" w:eastAsia="仿宋_GB2312"/>
          <w:color w:val="auto"/>
          <w:sz w:val="30"/>
          <w:szCs w:val="30"/>
          <w:highlight w:val="none"/>
          <w:lang w:val="en-US" w:eastAsia="zh-CN"/>
        </w:rPr>
        <w:t>2.提供授权委托人在本单位近三个月社保记录（以加盖社会保险基金管理中心印章的《缴费历史明细表》或《社会保险参保人员证明》为准），否则为无效代理人，询价响应文件无效。</w:t>
      </w:r>
    </w:p>
    <w:p>
      <w:pPr>
        <w:pStyle w:val="14"/>
        <w:snapToGrid w:val="0"/>
        <w:spacing w:line="600" w:lineRule="exact"/>
        <w:ind w:firstLine="3618" w:firstLineChars="1005"/>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pacing w:val="30"/>
          <w:sz w:val="30"/>
          <w:szCs w:val="30"/>
          <w:highlight w:val="none"/>
        </w:rPr>
        <w:t>供应商</w:t>
      </w:r>
      <w:r>
        <w:rPr>
          <w:rFonts w:hint="eastAsia" w:ascii="仿宋_GB2312" w:hAnsi="宋体" w:eastAsia="仿宋_GB2312" w:cs="Times New Roman"/>
          <w:color w:val="auto"/>
          <w:sz w:val="30"/>
          <w:szCs w:val="30"/>
          <w:highlight w:val="none"/>
        </w:rPr>
        <w:t>：</w:t>
      </w:r>
      <w:r>
        <w:rPr>
          <w:rFonts w:hint="eastAsia" w:ascii="仿宋_GB2312" w:hAnsi="宋体" w:eastAsia="仿宋_GB2312" w:cs="Times New Roman"/>
          <w:color w:val="auto"/>
          <w:sz w:val="30"/>
          <w:szCs w:val="30"/>
          <w:highlight w:val="none"/>
          <w:u w:val="single"/>
        </w:rPr>
        <w:t xml:space="preserve">      (单位公章)         </w:t>
      </w:r>
    </w:p>
    <w:p>
      <w:pPr>
        <w:pStyle w:val="14"/>
        <w:snapToGrid w:val="0"/>
        <w:spacing w:line="600" w:lineRule="exact"/>
        <w:ind w:firstLine="3600" w:firstLineChars="1200"/>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法定代表人：</w:t>
      </w:r>
      <w:r>
        <w:rPr>
          <w:rFonts w:hint="eastAsia" w:ascii="仿宋_GB2312" w:hAnsi="宋体" w:eastAsia="仿宋_GB2312" w:cs="Times New Roman"/>
          <w:color w:val="auto"/>
          <w:sz w:val="30"/>
          <w:szCs w:val="30"/>
          <w:highlight w:val="none"/>
          <w:u w:val="single"/>
        </w:rPr>
        <w:t xml:space="preserve">       (签字)            </w:t>
      </w:r>
    </w:p>
    <w:p>
      <w:pPr>
        <w:pStyle w:val="14"/>
        <w:snapToGrid w:val="0"/>
        <w:spacing w:line="600" w:lineRule="exact"/>
        <w:ind w:firstLine="3600" w:firstLineChars="1200"/>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委托代理人：</w:t>
      </w:r>
      <w:r>
        <w:rPr>
          <w:rFonts w:hint="eastAsia" w:ascii="仿宋_GB2312" w:hAnsi="宋体" w:eastAsia="仿宋_GB2312" w:cs="Times New Roman"/>
          <w:color w:val="auto"/>
          <w:sz w:val="30"/>
          <w:szCs w:val="30"/>
          <w:highlight w:val="none"/>
          <w:u w:val="single"/>
        </w:rPr>
        <w:t xml:space="preserve">       (签字)            </w:t>
      </w:r>
    </w:p>
    <w:p>
      <w:pPr>
        <w:widowControl/>
        <w:adjustRightInd w:val="0"/>
        <w:snapToGrid w:val="0"/>
        <w:spacing w:line="600" w:lineRule="exact"/>
        <w:rPr>
          <w:rFonts w:hint="eastAsia"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 xml:space="preserve">                        日    期：</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年</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月</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日</w:t>
      </w:r>
    </w:p>
    <w:p>
      <w:pPr>
        <w:pStyle w:val="23"/>
        <w:rPr>
          <w:rFonts w:hint="eastAsia" w:ascii="仿宋_GB2312" w:hAnsi="宋体" w:eastAsia="仿宋_GB2312"/>
          <w:color w:val="auto"/>
          <w:sz w:val="30"/>
          <w:szCs w:val="30"/>
          <w:highlight w:val="none"/>
        </w:rPr>
      </w:pPr>
    </w:p>
    <w:p>
      <w:pPr>
        <w:pStyle w:val="23"/>
        <w:rPr>
          <w:rFonts w:hint="eastAsia" w:ascii="仿宋_GB2312" w:hAnsi="宋体" w:eastAsia="仿宋_GB2312"/>
          <w:color w:val="auto"/>
          <w:sz w:val="30"/>
          <w:szCs w:val="30"/>
          <w:highlight w:val="none"/>
        </w:rPr>
      </w:pPr>
    </w:p>
    <w:p>
      <w:pPr>
        <w:pStyle w:val="23"/>
        <w:rPr>
          <w:rFonts w:hint="eastAsia" w:ascii="仿宋_GB2312" w:hAnsi="宋体" w:eastAsia="仿宋_GB2312"/>
          <w:color w:val="auto"/>
          <w:sz w:val="30"/>
          <w:szCs w:val="30"/>
          <w:highlight w:val="none"/>
        </w:rPr>
      </w:pPr>
    </w:p>
    <w:p>
      <w:pPr>
        <w:pStyle w:val="23"/>
        <w:rPr>
          <w:rFonts w:hint="eastAsia" w:ascii="仿宋_GB2312" w:hAnsi="宋体" w:eastAsia="仿宋_GB2312"/>
          <w:color w:val="auto"/>
          <w:sz w:val="30"/>
          <w:szCs w:val="30"/>
          <w:highlight w:val="none"/>
        </w:rPr>
      </w:pPr>
    </w:p>
    <w:p>
      <w:pPr>
        <w:pStyle w:val="5"/>
        <w:spacing w:after="0" w:line="600" w:lineRule="exact"/>
        <w:rPr>
          <w:rFonts w:ascii="仿宋_GB2312" w:eastAsia="仿宋_GB2312"/>
          <w:color w:val="auto"/>
          <w:highlight w:val="none"/>
        </w:rPr>
      </w:pPr>
      <w:r>
        <w:rPr>
          <w:rFonts w:ascii="仿宋_GB2312" w:eastAsia="仿宋_GB2312"/>
          <w:color w:val="auto"/>
          <w:sz w:val="44"/>
          <w:szCs w:val="44"/>
          <w:highlight w:val="none"/>
          <w:u w:val="single"/>
        </w:rPr>
        <mc:AlternateContent>
          <mc:Choice Requires="wps">
            <w:drawing>
              <wp:anchor distT="0" distB="0" distL="114300" distR="114300" simplePos="0" relativeHeight="251666432" behindDoc="0" locked="0" layoutInCell="1" allowOverlap="1">
                <wp:simplePos x="0" y="0"/>
                <wp:positionH relativeFrom="column">
                  <wp:posOffset>615950</wp:posOffset>
                </wp:positionH>
                <wp:positionV relativeFrom="paragraph">
                  <wp:posOffset>200025</wp:posOffset>
                </wp:positionV>
                <wp:extent cx="3771900" cy="1287780"/>
                <wp:effectExtent l="4445" t="5080" r="14605" b="21590"/>
                <wp:wrapSquare wrapText="bothSides"/>
                <wp:docPr id="1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771900" cy="1287780"/>
                        </a:xfrm>
                        <a:prstGeom prst="rect">
                          <a:avLst/>
                        </a:prstGeom>
                        <a:solidFill>
                          <a:srgbClr val="FFFFFF"/>
                        </a:solidFill>
                        <a:ln w="9525">
                          <a:solidFill>
                            <a:srgbClr val="000000"/>
                          </a:solidFill>
                          <a:miter lim="800000"/>
                        </a:ln>
                        <a:effectLst/>
                      </wps:spPr>
                      <wps:txbx>
                        <w:txbxContent>
                          <w:p>
                            <w:pPr>
                              <w:jc w:val="center"/>
                              <w:rPr>
                                <w:sz w:val="24"/>
                              </w:rPr>
                            </w:pPr>
                          </w:p>
                          <w:p>
                            <w:pPr>
                              <w:jc w:val="center"/>
                              <w:rPr>
                                <w:color w:val="FF0000"/>
                                <w:sz w:val="24"/>
                              </w:rPr>
                            </w:pPr>
                          </w:p>
                          <w:p>
                            <w:pPr>
                              <w:jc w:val="center"/>
                              <w:rPr>
                                <w:sz w:val="24"/>
                              </w:rPr>
                            </w:pPr>
                            <w:r>
                              <w:rPr>
                                <w:rFonts w:hint="eastAsia"/>
                                <w:sz w:val="24"/>
                              </w:rPr>
                              <w:t>身份证复印件（含正反面）</w:t>
                            </w:r>
                          </w:p>
                        </w:txbxContent>
                      </wps:txbx>
                      <wps:bodyPr rot="0" vert="horz" wrap="square" lIns="91440" tIns="45720" rIns="91440" bIns="45720" anchor="t" anchorCtr="0" upright="1">
                        <a:noAutofit/>
                      </wps:bodyPr>
                    </wps:wsp>
                  </a:graphicData>
                </a:graphic>
              </wp:anchor>
            </w:drawing>
          </mc:Choice>
          <mc:Fallback>
            <w:pict>
              <v:shape id="文本框 2" o:spid="_x0000_s1026" o:spt="202" type="#_x0000_t202" style="position:absolute;left:0pt;margin-left:48.5pt;margin-top:15.75pt;height:101.4pt;width:297pt;mso-wrap-distance-bottom:0pt;mso-wrap-distance-left:9pt;mso-wrap-distance-right:9pt;mso-wrap-distance-top:0pt;z-index:251666432;mso-width-relative:page;mso-height-relative:page;" fillcolor="#FFFFFF" filled="t" stroked="t" coordsize="21600,21600" o:gfxdata="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UyKI7ZAAAACQEAAA8AAAAAAAAA&#10;AQAgAAAAIgAAAGRycy9kb3ducmV2LnhtbFBLAQIUABQAAAAIAIdO4kCLD53XSQIAAJcEAAAOAAAA&#10;AAAAAAEAIAAAACgBAABkcnMvZTJvRG9jLnhtbFBLBQYAAAAABgAGAFkBAADjBQAAAAA=&#10;">
                <v:fill on="t" focussize="0,0"/>
                <v:stroke color="#000000" miterlimit="8" joinstyle="miter"/>
                <v:imagedata o:title=""/>
                <o:lock v:ext="edit" aspectratio="f"/>
                <v:textbox>
                  <w:txbxContent>
                    <w:p>
                      <w:pPr>
                        <w:jc w:val="center"/>
                        <w:rPr>
                          <w:sz w:val="24"/>
                        </w:rPr>
                      </w:pPr>
                    </w:p>
                    <w:p>
                      <w:pPr>
                        <w:jc w:val="center"/>
                        <w:rPr>
                          <w:color w:val="FF0000"/>
                          <w:sz w:val="24"/>
                        </w:rPr>
                      </w:pPr>
                    </w:p>
                    <w:p>
                      <w:pPr>
                        <w:jc w:val="center"/>
                        <w:rPr>
                          <w:sz w:val="24"/>
                        </w:rPr>
                      </w:pPr>
                      <w:r>
                        <w:rPr>
                          <w:rFonts w:hint="eastAsia"/>
                          <w:sz w:val="24"/>
                        </w:rPr>
                        <w:t>身份证复印件（含正反面）</w:t>
                      </w:r>
                    </w:p>
                  </w:txbxContent>
                </v:textbox>
                <w10:wrap type="square"/>
              </v:shape>
            </w:pict>
          </mc:Fallback>
        </mc:AlternateContent>
      </w:r>
    </w:p>
    <w:p>
      <w:pPr>
        <w:pStyle w:val="5"/>
        <w:spacing w:after="0" w:line="600" w:lineRule="exact"/>
        <w:rPr>
          <w:rFonts w:ascii="仿宋_GB2312" w:eastAsia="仿宋_GB2312"/>
          <w:color w:val="auto"/>
          <w:highlight w:val="none"/>
        </w:rPr>
      </w:pPr>
    </w:p>
    <w:p>
      <w:pPr>
        <w:pStyle w:val="5"/>
        <w:spacing w:after="0" w:line="600" w:lineRule="exact"/>
        <w:rPr>
          <w:rFonts w:ascii="仿宋_GB2312" w:eastAsia="仿宋_GB2312"/>
          <w:color w:val="auto"/>
          <w:highlight w:val="none"/>
        </w:rPr>
      </w:pPr>
    </w:p>
    <w:p>
      <w:pPr>
        <w:pStyle w:val="5"/>
        <w:spacing w:after="0" w:line="600" w:lineRule="exact"/>
        <w:ind w:firstLine="0"/>
        <w:rPr>
          <w:rFonts w:ascii="仿宋_GB2312" w:eastAsia="仿宋_GB2312"/>
          <w:color w:val="auto"/>
          <w:highlight w:val="none"/>
        </w:rPr>
      </w:pPr>
    </w:p>
    <w:p>
      <w:pPr>
        <w:pStyle w:val="5"/>
        <w:spacing w:after="0" w:line="600" w:lineRule="exact"/>
        <w:rPr>
          <w:rFonts w:ascii="仿宋_GB2312" w:eastAsia="仿宋_GB2312"/>
          <w:color w:val="auto"/>
          <w:highlight w:val="none"/>
        </w:rPr>
      </w:pPr>
    </w:p>
    <w:p>
      <w:pPr>
        <w:adjustRightInd w:val="0"/>
        <w:snapToGrid w:val="0"/>
        <w:spacing w:line="600" w:lineRule="exact"/>
        <w:ind w:firstLine="480"/>
        <w:rPr>
          <w:rFonts w:hint="eastAsia" w:ascii="仿宋_GB2312" w:hAnsi="宋体" w:eastAsia="仿宋_GB2312"/>
          <w:color w:val="auto"/>
          <w:kern w:val="0"/>
          <w:szCs w:val="21"/>
          <w:highlight w:val="none"/>
        </w:rPr>
      </w:pPr>
      <w:r>
        <w:rPr>
          <w:rFonts w:hint="eastAsia" w:ascii="仿宋_GB2312" w:hAnsi="宋体" w:eastAsia="仿宋_GB2312"/>
          <w:color w:val="auto"/>
          <w:kern w:val="0"/>
          <w:szCs w:val="21"/>
          <w:highlight w:val="none"/>
        </w:rPr>
        <w:t>注：法人授权委托书亦可采用工商行政管理局统一制订的格式。</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6" w:hRule="atLeast"/>
        </w:trPr>
        <w:tc>
          <w:tcPr>
            <w:tcW w:w="9608" w:type="dxa"/>
            <w:noWrap w:val="0"/>
            <w:vAlign w:val="top"/>
          </w:tcPr>
          <w:p>
            <w:pPr>
              <w:spacing w:line="360" w:lineRule="auto"/>
              <w:jc w:val="both"/>
              <w:rPr>
                <w:rFonts w:hint="eastAsia" w:ascii="宋体" w:hAnsi="宋体" w:eastAsia="宋体" w:cs="Times New Roman"/>
                <w:color w:val="auto"/>
                <w:sz w:val="24"/>
                <w:szCs w:val="24"/>
                <w:highlight w:val="none"/>
              </w:rPr>
            </w:pPr>
          </w:p>
          <w:p>
            <w:pPr>
              <w:spacing w:line="360" w:lineRule="auto"/>
              <w:jc w:val="center"/>
              <w:rPr>
                <w:rFonts w:hint="eastAsia" w:ascii="宋体" w:hAnsi="宋体" w:eastAsia="宋体" w:cs="Times New Roman"/>
                <w:color w:val="auto"/>
                <w:sz w:val="24"/>
                <w:szCs w:val="24"/>
                <w:highlight w:val="none"/>
              </w:rPr>
            </w:pPr>
          </w:p>
          <w:p>
            <w:pPr>
              <w:spacing w:line="360" w:lineRule="auto"/>
              <w:jc w:val="center"/>
              <w:rPr>
                <w:rFonts w:hint="eastAsia" w:ascii="宋体" w:hAnsi="宋体"/>
                <w:color w:val="auto"/>
                <w:sz w:val="24"/>
                <w:szCs w:val="24"/>
                <w:highlight w:val="none"/>
                <w:lang w:val="en-US" w:eastAsia="zh-CN"/>
              </w:rPr>
            </w:pPr>
            <w:r>
              <w:rPr>
                <w:rFonts w:hint="eastAsia" w:ascii="宋体" w:hAnsi="宋体" w:cs="Times New Roman"/>
                <w:color w:val="auto"/>
                <w:sz w:val="24"/>
                <w:szCs w:val="24"/>
                <w:highlight w:val="none"/>
                <w:lang w:eastAsia="zh-CN"/>
              </w:rPr>
              <w:t>授权代理人在本单位近三个月社保记录，（以加盖社会保险基金管理中心印章的《缴费历史明细表》或《社会保险参保人员证明》为准，</w:t>
            </w:r>
            <w:r>
              <w:rPr>
                <w:rFonts w:hint="eastAsia" w:ascii="宋体" w:hAnsi="宋体" w:cs="Times New Roman"/>
                <w:color w:val="auto"/>
                <w:sz w:val="24"/>
                <w:szCs w:val="24"/>
                <w:highlight w:val="none"/>
                <w:lang w:val="en-US" w:eastAsia="zh-CN"/>
              </w:rPr>
              <w:t>加</w:t>
            </w:r>
            <w:r>
              <w:rPr>
                <w:rFonts w:hint="eastAsia" w:ascii="宋体" w:hAnsi="宋体"/>
                <w:color w:val="auto"/>
                <w:sz w:val="24"/>
                <w:szCs w:val="24"/>
                <w:highlight w:val="none"/>
                <w:lang w:val="en-US" w:eastAsia="zh-CN"/>
              </w:rPr>
              <w:t>盖单位公章</w:t>
            </w:r>
          </w:p>
          <w:p>
            <w:pPr>
              <w:spacing w:line="360" w:lineRule="auto"/>
              <w:jc w:val="center"/>
              <w:rPr>
                <w:rFonts w:hint="eastAsia" w:ascii="宋体" w:hAnsi="宋体"/>
                <w:color w:val="auto"/>
                <w:sz w:val="24"/>
                <w:szCs w:val="24"/>
                <w:highlight w:val="none"/>
                <w:lang w:val="en-US" w:eastAsia="zh-CN"/>
              </w:rPr>
            </w:pPr>
          </w:p>
          <w:p>
            <w:pPr>
              <w:spacing w:line="360" w:lineRule="auto"/>
              <w:jc w:val="left"/>
              <w:rPr>
                <w:rFonts w:ascii="宋体" w:hAnsi="宋体"/>
                <w:color w:val="auto"/>
                <w:sz w:val="24"/>
                <w:szCs w:val="24"/>
                <w:highlight w:val="none"/>
              </w:rPr>
            </w:pPr>
          </w:p>
          <w:p>
            <w:pPr>
              <w:spacing w:line="360" w:lineRule="auto"/>
              <w:jc w:val="left"/>
              <w:rPr>
                <w:rFonts w:ascii="宋体" w:hAnsi="宋体"/>
                <w:color w:val="auto"/>
                <w:sz w:val="24"/>
                <w:szCs w:val="24"/>
                <w:highlight w:val="none"/>
              </w:rPr>
            </w:pPr>
          </w:p>
        </w:tc>
      </w:tr>
    </w:tbl>
    <w:p>
      <w:pPr>
        <w:spacing w:line="440" w:lineRule="exact"/>
        <w:ind w:firstLine="859" w:firstLineChars="307"/>
        <w:rPr>
          <w:rFonts w:ascii="仿宋" w:hAnsi="仿宋" w:eastAsia="仿宋" w:cs="仿宋_GB2312"/>
          <w:color w:val="auto"/>
          <w:sz w:val="28"/>
          <w:szCs w:val="28"/>
          <w:highlight w:val="none"/>
        </w:rPr>
      </w:pPr>
    </w:p>
    <w:p>
      <w:pPr>
        <w:spacing w:line="480" w:lineRule="exact"/>
        <w:ind w:firstLine="843" w:firstLineChars="300"/>
        <w:rPr>
          <w:rFonts w:ascii="仿宋" w:hAnsi="仿宋" w:eastAsia="仿宋" w:cs="仿宋_GB2312"/>
          <w:b/>
          <w:color w:val="auto"/>
          <w:sz w:val="28"/>
          <w:szCs w:val="28"/>
          <w:highlight w:val="none"/>
        </w:rPr>
      </w:pPr>
    </w:p>
    <w:p>
      <w:pPr>
        <w:pStyle w:val="23"/>
        <w:rPr>
          <w:color w:val="auto"/>
          <w:highlight w:val="none"/>
        </w:rPr>
      </w:pPr>
    </w:p>
    <w:p>
      <w:pPr>
        <w:pStyle w:val="23"/>
        <w:rPr>
          <w:color w:val="auto"/>
          <w:highlight w:val="none"/>
        </w:rPr>
      </w:pPr>
    </w:p>
    <w:p>
      <w:pPr>
        <w:pStyle w:val="23"/>
        <w:rPr>
          <w:color w:val="auto"/>
          <w:highlight w:val="none"/>
        </w:rPr>
      </w:pPr>
    </w:p>
    <w:p>
      <w:pPr>
        <w:pStyle w:val="23"/>
        <w:rPr>
          <w:color w:val="auto"/>
          <w:highlight w:val="none"/>
        </w:rPr>
      </w:pPr>
    </w:p>
    <w:p>
      <w:pPr>
        <w:pStyle w:val="4"/>
        <w:rPr>
          <w:rFonts w:asciiTheme="minorEastAsia" w:hAnsiTheme="minorEastAsia" w:eastAsiaTheme="minorEastAsia"/>
          <w:color w:val="auto"/>
          <w:sz w:val="28"/>
          <w:szCs w:val="28"/>
          <w:highlight w:val="none"/>
        </w:rPr>
      </w:pPr>
      <w:bookmarkStart w:id="124" w:name="_Toc87616400"/>
      <w:bookmarkStart w:id="125" w:name="_Toc8086"/>
      <w:bookmarkStart w:id="126" w:name="_Toc19830"/>
      <w:bookmarkStart w:id="127" w:name="_Toc88209963"/>
      <w:r>
        <w:rPr>
          <w:rFonts w:hint="eastAsia" w:ascii="仿宋_GB2312" w:eastAsia="仿宋_GB2312" w:hAnsiTheme="minorEastAsia"/>
          <w:color w:val="auto"/>
          <w:sz w:val="28"/>
          <w:szCs w:val="28"/>
          <w:highlight w:val="none"/>
          <w:lang w:val="en-US" w:eastAsia="zh-CN"/>
        </w:rPr>
        <w:t>3</w:t>
      </w:r>
      <w:r>
        <w:rPr>
          <w:rFonts w:hint="eastAsia" w:asciiTheme="minorEastAsia" w:hAnsiTheme="minorEastAsia" w:eastAsiaTheme="minorEastAsia"/>
          <w:color w:val="auto"/>
          <w:sz w:val="28"/>
          <w:szCs w:val="28"/>
          <w:highlight w:val="none"/>
        </w:rPr>
        <w:t>.资格审查资料</w:t>
      </w:r>
      <w:bookmarkEnd w:id="124"/>
      <w:bookmarkEnd w:id="125"/>
      <w:bookmarkEnd w:id="126"/>
      <w:bookmarkEnd w:id="127"/>
    </w:p>
    <w:p>
      <w:pPr>
        <w:spacing w:line="360" w:lineRule="auto"/>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val="en-US" w:eastAsia="zh-CN"/>
        </w:rPr>
        <w:t>3</w:t>
      </w:r>
      <w:r>
        <w:rPr>
          <w:rFonts w:hint="eastAsia" w:ascii="仿宋_GB2312" w:hAnsi="黑体" w:eastAsia="仿宋_GB2312"/>
          <w:color w:val="auto"/>
          <w:sz w:val="28"/>
          <w:szCs w:val="28"/>
          <w:highlight w:val="none"/>
        </w:rPr>
        <w:t>.1供应商基本情况表</w:t>
      </w:r>
    </w:p>
    <w:tbl>
      <w:tblPr>
        <w:tblStyle w:val="25"/>
        <w:tblW w:w="9264" w:type="dxa"/>
        <w:tblInd w:w="-204"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986"/>
        <w:gridCol w:w="1134"/>
        <w:gridCol w:w="966"/>
        <w:gridCol w:w="1018"/>
        <w:gridCol w:w="142"/>
        <w:gridCol w:w="283"/>
        <w:gridCol w:w="1145"/>
        <w:gridCol w:w="840"/>
        <w:gridCol w:w="455"/>
        <w:gridCol w:w="1295"/>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供应商名称</w:t>
            </w:r>
          </w:p>
        </w:tc>
        <w:tc>
          <w:tcPr>
            <w:tcW w:w="7278" w:type="dxa"/>
            <w:gridSpan w:val="9"/>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注册地址</w:t>
            </w:r>
          </w:p>
        </w:tc>
        <w:tc>
          <w:tcPr>
            <w:tcW w:w="3118" w:type="dxa"/>
            <w:gridSpan w:val="3"/>
          </w:tcPr>
          <w:p>
            <w:pPr>
              <w:adjustRightInd w:val="0"/>
              <w:snapToGrid w:val="0"/>
              <w:spacing w:line="600" w:lineRule="exact"/>
              <w:rPr>
                <w:rFonts w:ascii="仿宋_GB2312" w:eastAsia="仿宋_GB2312" w:hAnsiTheme="minorEastAsia"/>
                <w:color w:val="auto"/>
                <w:sz w:val="28"/>
                <w:szCs w:val="28"/>
                <w:highlight w:val="none"/>
              </w:rPr>
            </w:pPr>
          </w:p>
        </w:tc>
        <w:tc>
          <w:tcPr>
            <w:tcW w:w="1570"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邮政编码</w:t>
            </w:r>
          </w:p>
        </w:tc>
        <w:tc>
          <w:tcPr>
            <w:tcW w:w="2590" w:type="dxa"/>
            <w:gridSpan w:val="3"/>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vMerge w:val="restart"/>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联系方式</w:t>
            </w:r>
          </w:p>
        </w:tc>
        <w:tc>
          <w:tcPr>
            <w:tcW w:w="1134" w:type="dxa"/>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联系人</w:t>
            </w:r>
          </w:p>
        </w:tc>
        <w:tc>
          <w:tcPr>
            <w:tcW w:w="1984" w:type="dxa"/>
            <w:gridSpan w:val="2"/>
            <w:vAlign w:val="center"/>
          </w:tcPr>
          <w:p>
            <w:pPr>
              <w:adjustRightInd w:val="0"/>
              <w:snapToGrid w:val="0"/>
              <w:spacing w:line="600" w:lineRule="exact"/>
              <w:jc w:val="center"/>
              <w:rPr>
                <w:rFonts w:ascii="仿宋_GB2312" w:eastAsia="仿宋_GB2312" w:hAnsiTheme="minorEastAsia"/>
                <w:color w:val="auto"/>
                <w:sz w:val="28"/>
                <w:szCs w:val="28"/>
                <w:highlight w:val="none"/>
              </w:rPr>
            </w:pPr>
          </w:p>
        </w:tc>
        <w:tc>
          <w:tcPr>
            <w:tcW w:w="1570" w:type="dxa"/>
            <w:gridSpan w:val="3"/>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2590" w:type="dxa"/>
            <w:gridSpan w:val="3"/>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vMerge w:val="continue"/>
            <w:vAlign w:val="center"/>
          </w:tcPr>
          <w:p>
            <w:pPr>
              <w:adjustRightInd w:val="0"/>
              <w:snapToGrid w:val="0"/>
              <w:spacing w:line="600" w:lineRule="exact"/>
              <w:jc w:val="center"/>
              <w:rPr>
                <w:rFonts w:ascii="仿宋_GB2312" w:eastAsia="仿宋_GB2312" w:hAnsiTheme="minorEastAsia"/>
                <w:color w:val="auto"/>
                <w:sz w:val="28"/>
                <w:szCs w:val="28"/>
                <w:highlight w:val="none"/>
              </w:rPr>
            </w:pPr>
          </w:p>
        </w:tc>
        <w:tc>
          <w:tcPr>
            <w:tcW w:w="1134" w:type="dxa"/>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传真</w:t>
            </w:r>
          </w:p>
        </w:tc>
        <w:tc>
          <w:tcPr>
            <w:tcW w:w="1984" w:type="dxa"/>
            <w:gridSpan w:val="2"/>
            <w:vAlign w:val="center"/>
          </w:tcPr>
          <w:p>
            <w:pPr>
              <w:adjustRightInd w:val="0"/>
              <w:snapToGrid w:val="0"/>
              <w:spacing w:line="600" w:lineRule="exact"/>
              <w:jc w:val="center"/>
              <w:rPr>
                <w:rFonts w:ascii="仿宋_GB2312" w:eastAsia="仿宋_GB2312" w:hAnsiTheme="minorEastAsia"/>
                <w:color w:val="auto"/>
                <w:sz w:val="28"/>
                <w:szCs w:val="28"/>
                <w:highlight w:val="none"/>
              </w:rPr>
            </w:pPr>
          </w:p>
        </w:tc>
        <w:tc>
          <w:tcPr>
            <w:tcW w:w="1570" w:type="dxa"/>
            <w:gridSpan w:val="3"/>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网址</w:t>
            </w:r>
          </w:p>
        </w:tc>
        <w:tc>
          <w:tcPr>
            <w:tcW w:w="2590" w:type="dxa"/>
            <w:gridSpan w:val="3"/>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组织结构</w:t>
            </w:r>
          </w:p>
        </w:tc>
        <w:tc>
          <w:tcPr>
            <w:tcW w:w="7278" w:type="dxa"/>
            <w:gridSpan w:val="9"/>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法定代表人</w:t>
            </w:r>
          </w:p>
        </w:tc>
        <w:tc>
          <w:tcPr>
            <w:tcW w:w="1134"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姓名</w:t>
            </w:r>
          </w:p>
        </w:tc>
        <w:tc>
          <w:tcPr>
            <w:tcW w:w="966" w:type="dxa"/>
          </w:tcPr>
          <w:p>
            <w:pPr>
              <w:adjustRightInd w:val="0"/>
              <w:snapToGrid w:val="0"/>
              <w:spacing w:line="600" w:lineRule="exact"/>
              <w:rPr>
                <w:rFonts w:ascii="仿宋_GB2312" w:eastAsia="仿宋_GB2312" w:hAnsiTheme="minorEastAsia"/>
                <w:color w:val="auto"/>
                <w:sz w:val="28"/>
                <w:szCs w:val="28"/>
                <w:highlight w:val="none"/>
              </w:rPr>
            </w:pPr>
          </w:p>
        </w:tc>
        <w:tc>
          <w:tcPr>
            <w:tcW w:w="1443"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技术职称</w:t>
            </w:r>
          </w:p>
        </w:tc>
        <w:tc>
          <w:tcPr>
            <w:tcW w:w="1145" w:type="dxa"/>
          </w:tcPr>
          <w:p>
            <w:pPr>
              <w:adjustRightInd w:val="0"/>
              <w:snapToGrid w:val="0"/>
              <w:spacing w:line="600" w:lineRule="exact"/>
              <w:rPr>
                <w:rFonts w:ascii="仿宋_GB2312" w:eastAsia="仿宋_GB2312" w:hAnsiTheme="minorEastAsia"/>
                <w:color w:val="auto"/>
                <w:sz w:val="28"/>
                <w:szCs w:val="28"/>
                <w:highlight w:val="none"/>
              </w:rPr>
            </w:pPr>
          </w:p>
        </w:tc>
        <w:tc>
          <w:tcPr>
            <w:tcW w:w="1295" w:type="dxa"/>
            <w:gridSpan w:val="2"/>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1295" w:type="dxa"/>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技术负责人</w:t>
            </w:r>
          </w:p>
        </w:tc>
        <w:tc>
          <w:tcPr>
            <w:tcW w:w="1134"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姓名</w:t>
            </w:r>
          </w:p>
        </w:tc>
        <w:tc>
          <w:tcPr>
            <w:tcW w:w="966" w:type="dxa"/>
          </w:tcPr>
          <w:p>
            <w:pPr>
              <w:adjustRightInd w:val="0"/>
              <w:snapToGrid w:val="0"/>
              <w:spacing w:line="600" w:lineRule="exact"/>
              <w:rPr>
                <w:rFonts w:ascii="仿宋_GB2312" w:eastAsia="仿宋_GB2312" w:hAnsiTheme="minorEastAsia"/>
                <w:color w:val="auto"/>
                <w:sz w:val="28"/>
                <w:szCs w:val="28"/>
                <w:highlight w:val="none"/>
              </w:rPr>
            </w:pPr>
          </w:p>
        </w:tc>
        <w:tc>
          <w:tcPr>
            <w:tcW w:w="1443"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技术职称</w:t>
            </w:r>
          </w:p>
        </w:tc>
        <w:tc>
          <w:tcPr>
            <w:tcW w:w="1145" w:type="dxa"/>
          </w:tcPr>
          <w:p>
            <w:pPr>
              <w:adjustRightInd w:val="0"/>
              <w:snapToGrid w:val="0"/>
              <w:spacing w:line="600" w:lineRule="exact"/>
              <w:rPr>
                <w:rFonts w:ascii="仿宋_GB2312" w:eastAsia="仿宋_GB2312" w:hAnsiTheme="minorEastAsia"/>
                <w:color w:val="auto"/>
                <w:sz w:val="28"/>
                <w:szCs w:val="28"/>
                <w:highlight w:val="none"/>
              </w:rPr>
            </w:pPr>
          </w:p>
        </w:tc>
        <w:tc>
          <w:tcPr>
            <w:tcW w:w="1295" w:type="dxa"/>
            <w:gridSpan w:val="2"/>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1295" w:type="dxa"/>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成立时间</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5178" w:type="dxa"/>
            <w:gridSpan w:val="7"/>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□员工总人数：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企业资质等级</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restart"/>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其中</w:t>
            </w: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项目负责人</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营业执照号</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continue"/>
          </w:tcPr>
          <w:p>
            <w:pPr>
              <w:adjustRightInd w:val="0"/>
              <w:snapToGrid w:val="0"/>
              <w:spacing w:line="600" w:lineRule="exact"/>
              <w:rPr>
                <w:rFonts w:ascii="仿宋_GB2312" w:eastAsia="仿宋_GB2312" w:hAnsiTheme="minorEastAsia"/>
                <w:color w:val="auto"/>
                <w:sz w:val="28"/>
                <w:szCs w:val="28"/>
                <w:highlight w:val="none"/>
              </w:rPr>
            </w:pP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□高级职称人员</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注册资金</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continue"/>
          </w:tcPr>
          <w:p>
            <w:pPr>
              <w:adjustRightInd w:val="0"/>
              <w:snapToGrid w:val="0"/>
              <w:spacing w:line="600" w:lineRule="exact"/>
              <w:rPr>
                <w:rFonts w:ascii="仿宋_GB2312" w:eastAsia="仿宋_GB2312" w:hAnsiTheme="minorEastAsia"/>
                <w:color w:val="auto"/>
                <w:sz w:val="28"/>
                <w:szCs w:val="28"/>
                <w:highlight w:val="none"/>
              </w:rPr>
            </w:pP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□中级职称人员</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开户银行</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continue"/>
          </w:tcPr>
          <w:p>
            <w:pPr>
              <w:adjustRightInd w:val="0"/>
              <w:snapToGrid w:val="0"/>
              <w:spacing w:line="600" w:lineRule="exact"/>
              <w:rPr>
                <w:rFonts w:ascii="仿宋_GB2312" w:eastAsia="仿宋_GB2312" w:hAnsiTheme="minorEastAsia"/>
                <w:color w:val="auto"/>
                <w:sz w:val="28"/>
                <w:szCs w:val="28"/>
                <w:highlight w:val="none"/>
              </w:rPr>
            </w:pP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□初级职称人员</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账户</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continue"/>
          </w:tcPr>
          <w:p>
            <w:pPr>
              <w:adjustRightInd w:val="0"/>
              <w:snapToGrid w:val="0"/>
              <w:spacing w:line="600" w:lineRule="exact"/>
              <w:rPr>
                <w:rFonts w:ascii="仿宋_GB2312" w:eastAsia="仿宋_GB2312" w:hAnsiTheme="minorEastAsia"/>
                <w:color w:val="auto"/>
                <w:sz w:val="28"/>
                <w:szCs w:val="28"/>
                <w:highlight w:val="none"/>
              </w:rPr>
            </w:pP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□技工</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186" w:hRule="atLeast"/>
        </w:trPr>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经营范围</w:t>
            </w:r>
          </w:p>
        </w:tc>
        <w:tc>
          <w:tcPr>
            <w:tcW w:w="7278" w:type="dxa"/>
            <w:gridSpan w:val="9"/>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12" w:hRule="atLeast"/>
        </w:trPr>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备注</w:t>
            </w:r>
          </w:p>
        </w:tc>
        <w:tc>
          <w:tcPr>
            <w:tcW w:w="7278" w:type="dxa"/>
            <w:gridSpan w:val="9"/>
          </w:tcPr>
          <w:p>
            <w:pPr>
              <w:adjustRightInd w:val="0"/>
              <w:snapToGrid w:val="0"/>
              <w:spacing w:line="600" w:lineRule="exact"/>
              <w:rPr>
                <w:rFonts w:ascii="仿宋_GB2312" w:eastAsia="仿宋_GB2312" w:hAnsiTheme="minorEastAsia"/>
                <w:color w:val="auto"/>
                <w:sz w:val="28"/>
                <w:szCs w:val="28"/>
                <w:highlight w:val="none"/>
              </w:rPr>
            </w:pPr>
          </w:p>
        </w:tc>
      </w:tr>
    </w:tbl>
    <w:p>
      <w:pPr>
        <w:adjustRightInd w:val="0"/>
        <w:snapToGrid w:val="0"/>
        <w:ind w:firstLine="573"/>
        <w:rPr>
          <w:rFonts w:hint="eastAsia" w:cs="Times New Roman" w:asciiTheme="minorEastAsia" w:hAnsiTheme="minorEastAsia" w:eastAsiaTheme="minorEastAsia"/>
          <w:b/>
          <w:bCs/>
          <w:color w:val="auto"/>
          <w:sz w:val="28"/>
          <w:szCs w:val="28"/>
          <w:highlight w:val="none"/>
          <w:lang w:eastAsia="zh-CN"/>
        </w:rPr>
      </w:pPr>
      <w:r>
        <w:rPr>
          <w:rFonts w:ascii="仿宋_GB2312" w:eastAsia="仿宋_GB2312" w:hAnsiTheme="minorEastAsia"/>
          <w:color w:val="auto"/>
          <w:sz w:val="28"/>
          <w:szCs w:val="28"/>
          <w:highlight w:val="none"/>
        </w:rPr>
        <w:t>注</w:t>
      </w:r>
      <w:r>
        <w:rPr>
          <w:rFonts w:hint="eastAsia" w:ascii="仿宋_GB2312" w:eastAsia="仿宋_GB2312" w:hAnsiTheme="minorEastAsia"/>
          <w:color w:val="auto"/>
          <w:sz w:val="28"/>
          <w:szCs w:val="28"/>
          <w:highlight w:val="none"/>
        </w:rPr>
        <w:t>：</w:t>
      </w:r>
      <w:r>
        <w:rPr>
          <w:rFonts w:ascii="仿宋_GB2312" w:eastAsia="仿宋_GB2312" w:hAnsiTheme="minorEastAsia"/>
          <w:color w:val="auto"/>
          <w:sz w:val="28"/>
          <w:szCs w:val="28"/>
          <w:highlight w:val="none"/>
        </w:rPr>
        <w:t>供应商应按供应商须知的要求提供主体资格证明材料及相关资质证明材料</w:t>
      </w:r>
      <w:r>
        <w:rPr>
          <w:rFonts w:hint="eastAsia" w:ascii="仿宋_GB2312" w:eastAsia="仿宋_GB2312" w:hAnsiTheme="minorEastAsia"/>
          <w:color w:val="auto"/>
          <w:sz w:val="28"/>
          <w:szCs w:val="28"/>
          <w:highlight w:val="none"/>
          <w:lang w:eastAsia="zh-CN"/>
        </w:rPr>
        <w:t>。</w:t>
      </w:r>
      <w:r>
        <w:rPr>
          <w:rFonts w:hint="eastAsia" w:cs="Times New Roman" w:asciiTheme="minorEastAsia" w:hAnsiTheme="minorEastAsia" w:eastAsiaTheme="minorEastAsia"/>
          <w:b/>
          <w:bCs/>
          <w:color w:val="auto"/>
          <w:sz w:val="28"/>
          <w:szCs w:val="28"/>
          <w:highlight w:val="none"/>
          <w:lang w:val="en-US" w:eastAsia="zh-CN"/>
        </w:rPr>
        <w:t>（</w:t>
      </w:r>
      <w:r>
        <w:rPr>
          <w:rFonts w:hint="eastAsia" w:cs="Times New Roman" w:asciiTheme="minorEastAsia" w:hAnsiTheme="minorEastAsia" w:eastAsiaTheme="minorEastAsia"/>
          <w:b/>
          <w:bCs/>
          <w:color w:val="auto"/>
          <w:sz w:val="28"/>
          <w:szCs w:val="28"/>
          <w:highlight w:val="none"/>
        </w:rPr>
        <w:t>相关证明文件附后</w:t>
      </w:r>
      <w:r>
        <w:rPr>
          <w:rFonts w:hint="eastAsia" w:cs="Times New Roman" w:asciiTheme="minorEastAsia" w:hAnsiTheme="minorEastAsia" w:eastAsiaTheme="minorEastAsia"/>
          <w:b/>
          <w:bCs/>
          <w:color w:val="auto"/>
          <w:sz w:val="28"/>
          <w:szCs w:val="28"/>
          <w:highlight w:val="none"/>
          <w:lang w:eastAsia="zh-CN"/>
        </w:rPr>
        <w:t>）</w:t>
      </w:r>
    </w:p>
    <w:p>
      <w:pPr>
        <w:adjustRightInd w:val="0"/>
        <w:snapToGrid w:val="0"/>
        <w:spacing w:line="360" w:lineRule="auto"/>
        <w:jc w:val="left"/>
        <w:outlineLvl w:val="9"/>
        <w:rPr>
          <w:rFonts w:hint="eastAsia" w:cs="Times New Roman" w:asciiTheme="minorEastAsia" w:hAnsiTheme="minorEastAsia" w:eastAsiaTheme="minorEastAsia"/>
          <w:b/>
          <w:bCs/>
          <w:color w:val="auto"/>
          <w:sz w:val="28"/>
          <w:szCs w:val="28"/>
          <w:highlight w:val="none"/>
          <w:lang w:val="en-US" w:eastAsia="zh-CN"/>
        </w:rPr>
      </w:pPr>
      <w:bookmarkStart w:id="128" w:name="_Hlk59025866"/>
    </w:p>
    <w:p>
      <w:pPr>
        <w:adjustRightInd w:val="0"/>
        <w:snapToGrid w:val="0"/>
        <w:spacing w:line="360" w:lineRule="auto"/>
        <w:jc w:val="left"/>
        <w:outlineLvl w:val="9"/>
        <w:rPr>
          <w:rFonts w:hint="eastAsia" w:cs="Times New Roman" w:asciiTheme="minorEastAsia" w:hAnsiTheme="minorEastAsia" w:eastAsiaTheme="minorEastAsia"/>
          <w:b/>
          <w:bCs/>
          <w:color w:val="auto"/>
          <w:sz w:val="28"/>
          <w:szCs w:val="28"/>
          <w:highlight w:val="none"/>
        </w:rPr>
      </w:pPr>
      <w:r>
        <w:rPr>
          <w:rFonts w:hint="eastAsia" w:cs="Times New Roman" w:asciiTheme="minorEastAsia" w:hAnsiTheme="minorEastAsia" w:eastAsiaTheme="minorEastAsia"/>
          <w:b/>
          <w:bCs/>
          <w:color w:val="auto"/>
          <w:sz w:val="28"/>
          <w:szCs w:val="28"/>
          <w:highlight w:val="none"/>
          <w:lang w:val="en-US" w:eastAsia="zh-CN"/>
        </w:rPr>
        <w:t>3.2不得存在情形</w:t>
      </w:r>
      <w:r>
        <w:rPr>
          <w:rFonts w:hint="eastAsia" w:cs="Times New Roman" w:asciiTheme="minorEastAsia" w:hAnsiTheme="minorEastAsia" w:eastAsiaTheme="minorEastAsia"/>
          <w:b/>
          <w:bCs/>
          <w:color w:val="auto"/>
          <w:sz w:val="28"/>
          <w:szCs w:val="28"/>
          <w:highlight w:val="none"/>
        </w:rPr>
        <w:t>承诺函</w:t>
      </w:r>
    </w:p>
    <w:bookmarkEnd w:id="128"/>
    <w:p>
      <w:pPr>
        <w:adjustRightInd w:val="0"/>
        <w:snapToGrid w:val="0"/>
        <w:spacing w:line="360" w:lineRule="auto"/>
        <w:rPr>
          <w:rFonts w:hint="eastAsia" w:ascii="宋体" w:hAnsi="宋体" w:eastAsia="宋体" w:cs="宋体"/>
          <w:color w:val="auto"/>
          <w:kern w:val="2"/>
          <w:sz w:val="24"/>
          <w:szCs w:val="24"/>
          <w:highlight w:val="none"/>
          <w:lang w:val="en-GB"/>
        </w:rPr>
      </w:pPr>
    </w:p>
    <w:p>
      <w:pPr>
        <w:adjustRightInd w:val="0"/>
        <w:snapToGrid w:val="0"/>
        <w:spacing w:line="360" w:lineRule="auto"/>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致：</w:t>
      </w:r>
      <w:r>
        <w:rPr>
          <w:rFonts w:hint="eastAsia" w:ascii="宋体" w:hAnsi="宋体" w:eastAsia="宋体" w:cs="宋体"/>
          <w:b/>
          <w:bCs/>
          <w:color w:val="auto"/>
          <w:sz w:val="24"/>
          <w:szCs w:val="24"/>
          <w:highlight w:val="none"/>
          <w:shd w:val="clear" w:color="auto" w:fill="FFFFFF"/>
        </w:rPr>
        <w:t>广州市净水有限公司</w:t>
      </w:r>
    </w:p>
    <w:p>
      <w:pPr>
        <w:adjustRightInd w:val="0"/>
        <w:snapToGrid w:val="0"/>
        <w:spacing w:line="360" w:lineRule="auto"/>
        <w:ind w:firstLine="480" w:firstLineChars="200"/>
        <w:jc w:val="both"/>
        <w:rPr>
          <w:rFonts w:hint="eastAsia" w:ascii="仿宋_GB2312" w:eastAsia="仿宋_GB2312"/>
          <w:color w:val="auto"/>
          <w:sz w:val="28"/>
          <w:szCs w:val="28"/>
          <w:highlight w:val="none"/>
          <w:lang w:eastAsia="zh-CN"/>
        </w:rPr>
      </w:pPr>
      <w:r>
        <w:rPr>
          <w:rFonts w:hint="eastAsia" w:ascii="宋体" w:hAnsi="宋体" w:eastAsia="宋体" w:cs="宋体"/>
          <w:color w:val="auto"/>
          <w:kern w:val="2"/>
          <w:sz w:val="24"/>
          <w:szCs w:val="24"/>
          <w:highlight w:val="none"/>
          <w:lang w:val="en-GB"/>
        </w:rPr>
        <w:t>我方郑重承诺，在参与</w:t>
      </w:r>
      <w:r>
        <w:rPr>
          <w:rFonts w:hint="eastAsia" w:ascii="宋体" w:hAnsi="宋体" w:eastAsia="宋体" w:cs="宋体"/>
          <w:color w:val="auto"/>
          <w:kern w:val="2"/>
          <w:sz w:val="24"/>
          <w:szCs w:val="24"/>
          <w:highlight w:val="none"/>
          <w:u w:val="single"/>
          <w:lang w:val="en-GB" w:eastAsia="zh-CN"/>
        </w:rPr>
        <w:t>广州市净水有限公司大坦沙分公司三期滤池超越阀电动执行器优化等项目</w:t>
      </w:r>
      <w:r>
        <w:rPr>
          <w:rFonts w:hint="eastAsia" w:ascii="宋体" w:hAnsi="宋体" w:eastAsia="宋体" w:cs="宋体"/>
          <w:color w:val="auto"/>
          <w:kern w:val="2"/>
          <w:sz w:val="24"/>
          <w:szCs w:val="24"/>
          <w:highlight w:val="none"/>
          <w:u w:val="single"/>
          <w:lang w:val="en-GB"/>
        </w:rPr>
        <w:t xml:space="preserve">（项目编号： </w:t>
      </w:r>
      <w:r>
        <w:rPr>
          <w:rFonts w:hint="eastAsia" w:ascii="宋体" w:hAnsi="宋体" w:eastAsia="宋体" w:cs="宋体"/>
          <w:color w:val="auto"/>
          <w:kern w:val="2"/>
          <w:sz w:val="24"/>
          <w:szCs w:val="24"/>
          <w:highlight w:val="none"/>
          <w:u w:val="single"/>
          <w:lang w:val="en-GB" w:eastAsia="zh-CN"/>
        </w:rPr>
        <w:t>******</w:t>
      </w:r>
      <w:r>
        <w:rPr>
          <w:rFonts w:hint="eastAsia" w:ascii="宋体" w:hAnsi="宋体" w:eastAsia="宋体" w:cs="宋体"/>
          <w:color w:val="auto"/>
          <w:kern w:val="2"/>
          <w:sz w:val="24"/>
          <w:szCs w:val="24"/>
          <w:highlight w:val="none"/>
          <w:u w:val="single"/>
          <w:lang w:val="en-GB"/>
        </w:rPr>
        <w:t>）</w:t>
      </w:r>
      <w:r>
        <w:rPr>
          <w:rFonts w:hint="eastAsia" w:ascii="宋体" w:hAnsi="宋体" w:eastAsia="宋体" w:cs="宋体"/>
          <w:color w:val="auto"/>
          <w:kern w:val="2"/>
          <w:sz w:val="24"/>
          <w:szCs w:val="24"/>
          <w:highlight w:val="none"/>
          <w:lang w:val="en-GB"/>
        </w:rPr>
        <w:t>采购期间，未被</w:t>
      </w:r>
      <w:r>
        <w:rPr>
          <w:rFonts w:hint="eastAsia" w:ascii="仿宋_GB2312" w:eastAsia="仿宋_GB2312"/>
          <w:color w:val="auto"/>
          <w:sz w:val="28"/>
          <w:szCs w:val="28"/>
          <w:highlight w:val="none"/>
          <w:lang w:val="en-US" w:eastAsia="zh-CN"/>
        </w:rPr>
        <w:t>列入</w:t>
      </w:r>
      <w:r>
        <w:rPr>
          <w:rFonts w:hint="eastAsia" w:ascii="仿宋_GB2312" w:eastAsia="仿宋_GB2312"/>
          <w:color w:val="auto"/>
          <w:sz w:val="28"/>
          <w:szCs w:val="28"/>
          <w:highlight w:val="none"/>
        </w:rPr>
        <w:t>下列情形之一</w:t>
      </w:r>
      <w:r>
        <w:rPr>
          <w:rFonts w:hint="eastAsia" w:ascii="仿宋_GB2312" w:eastAsia="仿宋_GB2312"/>
          <w:color w:val="auto"/>
          <w:sz w:val="28"/>
          <w:szCs w:val="28"/>
          <w:highlight w:val="none"/>
          <w:lang w:eastAsia="zh-CN"/>
        </w:rPr>
        <w:t>：</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（1）与本项目其他供应商的单位负责人为同一人。</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（2）与本项目其他供应商存在控股关系。</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（3）与本项目其他供应商存在管理关系。</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（4）被本项目所在地省级以上行业主管部门依法暂停、取消投标或禁止参加采购活动且处于有效期内的。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US" w:eastAsia="zh-CN"/>
        </w:rPr>
      </w:pPr>
      <w:r>
        <w:rPr>
          <w:rFonts w:hint="eastAsia" w:ascii="宋体" w:hAnsi="宋体" w:cs="宋体" w:eastAsiaTheme="minorEastAsia"/>
          <w:color w:val="auto"/>
          <w:sz w:val="24"/>
          <w:szCs w:val="24"/>
          <w:highlight w:val="none"/>
          <w:lang w:val="en-GB"/>
        </w:rPr>
        <w:t>（5）处于被责令停产停业、暂扣或者吊销执照、暂扣或者吊销许可证、吊销资质证书状态。</w:t>
      </w:r>
      <w:r>
        <w:rPr>
          <w:rFonts w:hint="eastAsia" w:ascii="宋体" w:hAnsi="宋体" w:cs="宋体"/>
          <w:color w:val="auto"/>
          <w:sz w:val="24"/>
          <w:szCs w:val="24"/>
          <w:highlight w:val="none"/>
          <w:lang w:val="en-US" w:eastAsia="zh-CN"/>
        </w:rPr>
        <w:t xml:space="preserve"> </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（6）进入清算程序，或被宣告破产，或其他丧失履约能力情形的。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（7）近三年内因发生质量或安全生产事故等受到行政处罚且在处罚期内的。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（8）被最高人民法院在“信用中国”网站（www.creditchina.gov.cn）或各级信用信息共享平台中列入失信被执行人名单。</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（9）被“信用广州”网站纳入失信被执行人名单（失信黑名单）。</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（10）被纳入本项目采购人（包括市水投集团及相关所属企业）书面限制参与采购活动且处于有效期内的。</w:t>
      </w:r>
    </w:p>
    <w:p>
      <w:pPr>
        <w:adjustRightInd w:val="0"/>
        <w:snapToGrid w:val="0"/>
        <w:spacing w:line="360" w:lineRule="auto"/>
        <w:ind w:firstLine="480" w:firstLineChars="200"/>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（11）其他违法违纪行为，经审查认为不宜被邀请参加采购活动的。</w:t>
      </w:r>
    </w:p>
    <w:p>
      <w:pPr>
        <w:adjustRightInd w:val="0"/>
        <w:snapToGrid w:val="0"/>
        <w:spacing w:line="360" w:lineRule="auto"/>
        <w:rPr>
          <w:rFonts w:hint="eastAsia" w:ascii="宋体" w:hAnsi="宋体" w:eastAsia="宋体" w:cs="宋体"/>
          <w:b/>
          <w:color w:val="auto"/>
          <w:sz w:val="24"/>
          <w:szCs w:val="24"/>
          <w:highlight w:val="none"/>
        </w:rPr>
      </w:pPr>
    </w:p>
    <w:p>
      <w:pPr>
        <w:adjustRightInd w:val="0"/>
        <w:snapToGrid w:val="0"/>
        <w:spacing w:line="360" w:lineRule="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 xml:space="preserve"> </w:t>
      </w:r>
    </w:p>
    <w:p>
      <w:pPr>
        <w:adjustRightInd w:val="0"/>
        <w:snapToGrid w:val="0"/>
        <w:spacing w:line="360" w:lineRule="auto"/>
        <w:jc w:val="right"/>
        <w:rPr>
          <w:rFonts w:hint="eastAsia" w:ascii="宋体" w:hAnsi="宋体" w:eastAsia="宋体" w:cs="宋体"/>
          <w:color w:val="auto"/>
          <w:kern w:val="2"/>
          <w:sz w:val="24"/>
          <w:szCs w:val="24"/>
          <w:highlight w:val="none"/>
          <w:lang w:val="en-GB"/>
        </w:rPr>
      </w:pPr>
    </w:p>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 xml:space="preserve">供应商名称（加盖公章）： </w:t>
      </w:r>
    </w:p>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年  月  日</w:t>
      </w:r>
    </w:p>
    <w:p>
      <w:pPr>
        <w:pStyle w:val="23"/>
        <w:ind w:firstLine="0"/>
        <w:rPr>
          <w:rFonts w:hint="eastAsia"/>
          <w:color w:val="auto"/>
          <w:highlight w:val="none"/>
          <w:lang w:eastAsia="zh-CN"/>
        </w:rPr>
      </w:pPr>
    </w:p>
    <w:p>
      <w:pPr>
        <w:pStyle w:val="23"/>
        <w:ind w:firstLine="0"/>
        <w:rPr>
          <w:rFonts w:hint="eastAsia"/>
          <w:color w:val="auto"/>
          <w:highlight w:val="none"/>
          <w:lang w:eastAsia="zh-CN"/>
        </w:rPr>
      </w:pPr>
    </w:p>
    <w:p>
      <w:pPr>
        <w:jc w:val="left"/>
        <w:rPr>
          <w:rFonts w:hint="eastAsia" w:cs="Times New Roman" w:asciiTheme="minorEastAsia" w:hAnsiTheme="minorEastAsia" w:eastAsiaTheme="minorEastAsia"/>
          <w:b/>
          <w:bCs/>
          <w:color w:val="auto"/>
          <w:sz w:val="28"/>
          <w:szCs w:val="28"/>
          <w:highlight w:val="none"/>
        </w:rPr>
      </w:pPr>
      <w:r>
        <w:rPr>
          <w:rFonts w:hint="eastAsia" w:cs="Times New Roman" w:asciiTheme="minorEastAsia" w:hAnsiTheme="minorEastAsia"/>
          <w:b/>
          <w:bCs/>
          <w:color w:val="auto"/>
          <w:sz w:val="28"/>
          <w:szCs w:val="28"/>
          <w:highlight w:val="none"/>
          <w:lang w:val="en-US" w:eastAsia="zh-CN"/>
        </w:rPr>
        <w:t>4</w:t>
      </w:r>
      <w:r>
        <w:rPr>
          <w:rFonts w:hint="eastAsia" w:cs="Times New Roman" w:asciiTheme="minorEastAsia" w:hAnsiTheme="minorEastAsia" w:eastAsiaTheme="minorEastAsia"/>
          <w:b/>
          <w:bCs/>
          <w:color w:val="auto"/>
          <w:sz w:val="28"/>
          <w:szCs w:val="28"/>
          <w:highlight w:val="none"/>
          <w:lang w:val="en-US" w:eastAsia="zh-CN"/>
        </w:rPr>
        <w:t>.</w:t>
      </w:r>
      <w:r>
        <w:rPr>
          <w:rFonts w:hint="eastAsia" w:cs="Times New Roman" w:asciiTheme="minorEastAsia" w:hAnsiTheme="minorEastAsia" w:eastAsiaTheme="minorEastAsia"/>
          <w:b/>
          <w:bCs/>
          <w:color w:val="auto"/>
          <w:sz w:val="28"/>
          <w:szCs w:val="28"/>
          <w:highlight w:val="none"/>
        </w:rPr>
        <w:t>拟投入本项目的项目负责人情况表</w:t>
      </w:r>
    </w:p>
    <w:p>
      <w:pPr>
        <w:pStyle w:val="23"/>
        <w:rPr>
          <w:rFonts w:hint="eastAsia" w:ascii="仿宋_GB2312" w:eastAsia="仿宋_GB2312" w:hAnsiTheme="minorEastAsia"/>
          <w:color w:val="auto"/>
          <w:sz w:val="28"/>
          <w:szCs w:val="28"/>
          <w:highlight w:val="none"/>
          <w:lang w:val="en-US" w:eastAsia="zh-CN"/>
        </w:rPr>
      </w:pPr>
    </w:p>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 xml:space="preserve"> 拟投入本项目的项目负责人情况表</w:t>
      </w:r>
    </w:p>
    <w:tbl>
      <w:tblPr>
        <w:tblStyle w:val="24"/>
        <w:tblW w:w="94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1"/>
        <w:gridCol w:w="332"/>
        <w:gridCol w:w="1165"/>
        <w:gridCol w:w="828"/>
        <w:gridCol w:w="785"/>
        <w:gridCol w:w="1208"/>
        <w:gridCol w:w="129"/>
        <w:gridCol w:w="1864"/>
        <w:gridCol w:w="334"/>
        <w:gridCol w:w="1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1" w:type="dxa"/>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姓名</w:t>
            </w:r>
          </w:p>
        </w:tc>
        <w:tc>
          <w:tcPr>
            <w:tcW w:w="1497" w:type="dxa"/>
            <w:gridSpan w:val="2"/>
            <w:noWrap w:val="0"/>
            <w:vAlign w:val="top"/>
          </w:tcPr>
          <w:p>
            <w:pPr>
              <w:jc w:val="center"/>
              <w:rPr>
                <w:rFonts w:ascii="仿宋" w:hAnsi="仿宋" w:eastAsia="仿宋" w:cs="仿宋_GB2312"/>
                <w:b/>
                <w:color w:val="auto"/>
                <w:sz w:val="28"/>
                <w:szCs w:val="28"/>
                <w:highlight w:val="none"/>
              </w:rPr>
            </w:pPr>
          </w:p>
        </w:tc>
        <w:tc>
          <w:tcPr>
            <w:tcW w:w="161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出生年月</w:t>
            </w:r>
          </w:p>
        </w:tc>
        <w:tc>
          <w:tcPr>
            <w:tcW w:w="1337" w:type="dxa"/>
            <w:gridSpan w:val="2"/>
            <w:noWrap w:val="0"/>
            <w:vAlign w:val="top"/>
          </w:tcPr>
          <w:p>
            <w:pPr>
              <w:jc w:val="center"/>
              <w:rPr>
                <w:rFonts w:ascii="仿宋" w:hAnsi="仿宋" w:eastAsia="仿宋" w:cs="仿宋_GB2312"/>
                <w:b/>
                <w:color w:val="auto"/>
                <w:sz w:val="28"/>
                <w:szCs w:val="28"/>
                <w:highlight w:val="none"/>
              </w:rPr>
            </w:pPr>
          </w:p>
        </w:tc>
        <w:tc>
          <w:tcPr>
            <w:tcW w:w="2198"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学历</w:t>
            </w:r>
          </w:p>
        </w:tc>
        <w:tc>
          <w:tcPr>
            <w:tcW w:w="1119" w:type="dxa"/>
            <w:noWrap w:val="0"/>
            <w:vAlign w:val="top"/>
          </w:tcPr>
          <w:p>
            <w:pPr>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1" w:type="dxa"/>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职称</w:t>
            </w:r>
          </w:p>
        </w:tc>
        <w:tc>
          <w:tcPr>
            <w:tcW w:w="1497" w:type="dxa"/>
            <w:gridSpan w:val="2"/>
            <w:noWrap w:val="0"/>
            <w:vAlign w:val="top"/>
          </w:tcPr>
          <w:p>
            <w:pPr>
              <w:spacing w:line="360" w:lineRule="exact"/>
              <w:jc w:val="center"/>
              <w:rPr>
                <w:rFonts w:ascii="仿宋" w:hAnsi="仿宋" w:eastAsia="仿宋" w:cs="仿宋_GB2312"/>
                <w:b/>
                <w:color w:val="auto"/>
                <w:sz w:val="28"/>
                <w:szCs w:val="28"/>
                <w:highlight w:val="none"/>
              </w:rPr>
            </w:pPr>
          </w:p>
        </w:tc>
        <w:tc>
          <w:tcPr>
            <w:tcW w:w="1613" w:type="dxa"/>
            <w:gridSpan w:val="2"/>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职务</w:t>
            </w:r>
          </w:p>
        </w:tc>
        <w:tc>
          <w:tcPr>
            <w:tcW w:w="1337" w:type="dxa"/>
            <w:gridSpan w:val="2"/>
            <w:noWrap w:val="0"/>
            <w:vAlign w:val="top"/>
          </w:tcPr>
          <w:p>
            <w:pPr>
              <w:spacing w:line="360" w:lineRule="exact"/>
              <w:jc w:val="center"/>
              <w:rPr>
                <w:rFonts w:ascii="仿宋" w:hAnsi="仿宋" w:eastAsia="仿宋" w:cs="仿宋_GB2312"/>
                <w:b/>
                <w:color w:val="auto"/>
                <w:sz w:val="28"/>
                <w:szCs w:val="28"/>
                <w:highlight w:val="none"/>
              </w:rPr>
            </w:pPr>
          </w:p>
        </w:tc>
        <w:tc>
          <w:tcPr>
            <w:tcW w:w="2198" w:type="dxa"/>
            <w:gridSpan w:val="2"/>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从事本工作时间</w:t>
            </w:r>
          </w:p>
        </w:tc>
        <w:tc>
          <w:tcPr>
            <w:tcW w:w="1119" w:type="dxa"/>
            <w:noWrap w:val="0"/>
            <w:vAlign w:val="top"/>
          </w:tcPr>
          <w:p>
            <w:pPr>
              <w:spacing w:line="360" w:lineRule="exact"/>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5" w:hRule="atLeast"/>
        </w:trPr>
        <w:tc>
          <w:tcPr>
            <w:tcW w:w="1661" w:type="dxa"/>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毕业院校</w:t>
            </w:r>
          </w:p>
        </w:tc>
        <w:tc>
          <w:tcPr>
            <w:tcW w:w="1497" w:type="dxa"/>
            <w:gridSpan w:val="2"/>
            <w:noWrap w:val="0"/>
            <w:vAlign w:val="top"/>
          </w:tcPr>
          <w:p>
            <w:pPr>
              <w:spacing w:line="360" w:lineRule="exact"/>
              <w:jc w:val="center"/>
              <w:rPr>
                <w:rFonts w:ascii="仿宋" w:hAnsi="仿宋" w:eastAsia="仿宋" w:cs="仿宋_GB2312"/>
                <w:b/>
                <w:color w:val="auto"/>
                <w:sz w:val="28"/>
                <w:szCs w:val="28"/>
                <w:highlight w:val="none"/>
              </w:rPr>
            </w:pPr>
          </w:p>
        </w:tc>
        <w:tc>
          <w:tcPr>
            <w:tcW w:w="1613" w:type="dxa"/>
            <w:gridSpan w:val="2"/>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毕业时间</w:t>
            </w:r>
          </w:p>
        </w:tc>
        <w:tc>
          <w:tcPr>
            <w:tcW w:w="1337" w:type="dxa"/>
            <w:gridSpan w:val="2"/>
            <w:noWrap w:val="0"/>
            <w:vAlign w:val="top"/>
          </w:tcPr>
          <w:p>
            <w:pPr>
              <w:spacing w:line="360" w:lineRule="exact"/>
              <w:jc w:val="center"/>
              <w:rPr>
                <w:rFonts w:ascii="仿宋" w:hAnsi="仿宋" w:eastAsia="仿宋" w:cs="仿宋_GB2312"/>
                <w:b/>
                <w:color w:val="auto"/>
                <w:sz w:val="28"/>
                <w:szCs w:val="28"/>
                <w:highlight w:val="none"/>
              </w:rPr>
            </w:pPr>
          </w:p>
        </w:tc>
        <w:tc>
          <w:tcPr>
            <w:tcW w:w="2198" w:type="dxa"/>
            <w:gridSpan w:val="2"/>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专业</w:t>
            </w:r>
          </w:p>
        </w:tc>
        <w:tc>
          <w:tcPr>
            <w:tcW w:w="1119" w:type="dxa"/>
            <w:noWrap w:val="0"/>
            <w:vAlign w:val="top"/>
          </w:tcPr>
          <w:p>
            <w:pPr>
              <w:spacing w:line="360" w:lineRule="exact"/>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8" w:type="dxa"/>
            <w:gridSpan w:val="3"/>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注册证书等级</w:t>
            </w:r>
          </w:p>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和专业</w:t>
            </w:r>
          </w:p>
        </w:tc>
        <w:tc>
          <w:tcPr>
            <w:tcW w:w="2950" w:type="dxa"/>
            <w:gridSpan w:val="4"/>
            <w:noWrap w:val="0"/>
            <w:vAlign w:val="top"/>
          </w:tcPr>
          <w:p>
            <w:pPr>
              <w:spacing w:line="360" w:lineRule="exact"/>
              <w:jc w:val="center"/>
              <w:rPr>
                <w:rFonts w:ascii="仿宋" w:hAnsi="仿宋" w:eastAsia="仿宋" w:cs="仿宋_GB2312"/>
                <w:b/>
                <w:color w:val="auto"/>
                <w:sz w:val="28"/>
                <w:szCs w:val="28"/>
                <w:highlight w:val="none"/>
              </w:rPr>
            </w:pPr>
          </w:p>
        </w:tc>
        <w:tc>
          <w:tcPr>
            <w:tcW w:w="2198" w:type="dxa"/>
            <w:gridSpan w:val="2"/>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证书编号</w:t>
            </w:r>
          </w:p>
        </w:tc>
        <w:tc>
          <w:tcPr>
            <w:tcW w:w="1119" w:type="dxa"/>
            <w:noWrap w:val="0"/>
            <w:vAlign w:val="top"/>
          </w:tcPr>
          <w:p>
            <w:pPr>
              <w:spacing w:line="360" w:lineRule="exact"/>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8" w:type="dxa"/>
            <w:gridSpan w:val="3"/>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职称证专业</w:t>
            </w:r>
          </w:p>
        </w:tc>
        <w:tc>
          <w:tcPr>
            <w:tcW w:w="2950" w:type="dxa"/>
            <w:gridSpan w:val="4"/>
            <w:noWrap w:val="0"/>
            <w:vAlign w:val="top"/>
          </w:tcPr>
          <w:p>
            <w:pPr>
              <w:jc w:val="center"/>
              <w:rPr>
                <w:rFonts w:ascii="仿宋" w:hAnsi="仿宋" w:eastAsia="仿宋" w:cs="仿宋_GB2312"/>
                <w:b/>
                <w:color w:val="auto"/>
                <w:sz w:val="28"/>
                <w:szCs w:val="28"/>
                <w:highlight w:val="none"/>
              </w:rPr>
            </w:pPr>
          </w:p>
        </w:tc>
        <w:tc>
          <w:tcPr>
            <w:tcW w:w="2198"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证书编号</w:t>
            </w:r>
          </w:p>
        </w:tc>
        <w:tc>
          <w:tcPr>
            <w:tcW w:w="1119" w:type="dxa"/>
            <w:noWrap w:val="0"/>
            <w:vAlign w:val="top"/>
          </w:tcPr>
          <w:p>
            <w:pPr>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5" w:type="dxa"/>
            <w:gridSpan w:val="10"/>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参加过的项目情况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项目名称</w:t>
            </w:r>
          </w:p>
        </w:tc>
        <w:tc>
          <w:tcPr>
            <w:tcW w:w="199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合同金额</w:t>
            </w:r>
          </w:p>
        </w:tc>
        <w:tc>
          <w:tcPr>
            <w:tcW w:w="199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开、竣工时间</w:t>
            </w:r>
          </w:p>
        </w:tc>
        <w:tc>
          <w:tcPr>
            <w:tcW w:w="199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担任职务</w:t>
            </w:r>
          </w:p>
        </w:tc>
        <w:tc>
          <w:tcPr>
            <w:tcW w:w="145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发包人及联系电话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453" w:type="dxa"/>
            <w:gridSpan w:val="2"/>
            <w:noWrap w:val="0"/>
            <w:vAlign w:val="top"/>
          </w:tcPr>
          <w:p>
            <w:pPr>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453" w:type="dxa"/>
            <w:gridSpan w:val="2"/>
            <w:noWrap w:val="0"/>
            <w:vAlign w:val="top"/>
          </w:tcPr>
          <w:p>
            <w:pPr>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453" w:type="dxa"/>
            <w:gridSpan w:val="2"/>
            <w:noWrap w:val="0"/>
            <w:vAlign w:val="top"/>
          </w:tcPr>
          <w:p>
            <w:pPr>
              <w:jc w:val="center"/>
              <w:rPr>
                <w:rFonts w:ascii="仿宋" w:hAnsi="仿宋" w:eastAsia="仿宋" w:cs="仿宋_GB2312"/>
                <w:b/>
                <w:color w:val="auto"/>
                <w:sz w:val="28"/>
                <w:szCs w:val="28"/>
                <w:highlight w:val="none"/>
              </w:rPr>
            </w:pPr>
          </w:p>
        </w:tc>
      </w:tr>
    </w:tbl>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 xml:space="preserve">供应商名称（加盖公章）： </w:t>
      </w:r>
    </w:p>
    <w:p>
      <w:pPr>
        <w:pStyle w:val="23"/>
        <w:jc w:val="right"/>
        <w:rPr>
          <w:rFonts w:hint="default" w:ascii="仿宋_GB2312" w:eastAsia="仿宋_GB2312" w:hAnsiTheme="minorEastAsia"/>
          <w:color w:val="auto"/>
          <w:sz w:val="28"/>
          <w:szCs w:val="28"/>
          <w:highlight w:val="none"/>
          <w:lang w:val="en-US" w:eastAsia="zh-CN"/>
        </w:rPr>
      </w:pPr>
      <w:r>
        <w:rPr>
          <w:rFonts w:hint="eastAsia" w:ascii="宋体" w:hAnsi="宋体" w:eastAsia="宋体" w:cs="宋体"/>
          <w:color w:val="auto"/>
          <w:kern w:val="2"/>
          <w:sz w:val="24"/>
          <w:szCs w:val="24"/>
          <w:highlight w:val="none"/>
          <w:lang w:val="en-GB"/>
        </w:rPr>
        <w:t>年  月  日</w:t>
      </w:r>
    </w:p>
    <w:p>
      <w:pPr>
        <w:pStyle w:val="23"/>
        <w:rPr>
          <w:rFonts w:hint="default" w:ascii="仿宋_GB2312" w:eastAsia="仿宋_GB2312" w:hAnsiTheme="minorEastAsia"/>
          <w:color w:val="auto"/>
          <w:sz w:val="28"/>
          <w:szCs w:val="28"/>
          <w:highlight w:val="none"/>
          <w:lang w:val="en-US" w:eastAsia="zh-CN"/>
        </w:rPr>
      </w:pPr>
    </w:p>
    <w:p>
      <w:pPr>
        <w:pStyle w:val="23"/>
        <w:rPr>
          <w:rFonts w:hint="default" w:ascii="仿宋_GB2312" w:eastAsia="仿宋_GB2312" w:hAnsiTheme="minorEastAsia"/>
          <w:color w:val="auto"/>
          <w:sz w:val="28"/>
          <w:szCs w:val="28"/>
          <w:highlight w:val="none"/>
          <w:lang w:val="en-US" w:eastAsia="zh-CN"/>
        </w:rPr>
      </w:pPr>
    </w:p>
    <w:p>
      <w:pPr>
        <w:pStyle w:val="23"/>
        <w:rPr>
          <w:rFonts w:hint="default" w:ascii="仿宋_GB2312" w:eastAsia="仿宋_GB2312" w:hAnsiTheme="minorEastAsia"/>
          <w:color w:val="auto"/>
          <w:sz w:val="28"/>
          <w:szCs w:val="28"/>
          <w:highlight w:val="none"/>
          <w:lang w:val="en-US" w:eastAsia="zh-CN"/>
        </w:rPr>
      </w:pPr>
    </w:p>
    <w:p>
      <w:pPr>
        <w:pStyle w:val="23"/>
        <w:rPr>
          <w:rFonts w:hint="default" w:ascii="仿宋_GB2312" w:eastAsia="仿宋_GB2312" w:hAnsiTheme="minorEastAsia"/>
          <w:color w:val="auto"/>
          <w:sz w:val="28"/>
          <w:szCs w:val="28"/>
          <w:highlight w:val="none"/>
          <w:lang w:val="en-US" w:eastAsia="zh-CN"/>
        </w:rPr>
      </w:pPr>
    </w:p>
    <w:p>
      <w:pPr>
        <w:pStyle w:val="23"/>
        <w:rPr>
          <w:rFonts w:hint="default" w:ascii="仿宋_GB2312" w:eastAsia="仿宋_GB2312" w:hAnsiTheme="minorEastAsia"/>
          <w:color w:val="auto"/>
          <w:sz w:val="28"/>
          <w:szCs w:val="28"/>
          <w:highlight w:val="none"/>
          <w:lang w:val="en-US" w:eastAsia="zh-CN"/>
        </w:rPr>
      </w:pPr>
    </w:p>
    <w:p>
      <w:pPr>
        <w:pStyle w:val="5"/>
        <w:ind w:left="0" w:leftChars="0" w:firstLine="0" w:firstLineChars="0"/>
        <w:rPr>
          <w:rFonts w:hint="eastAsia" w:asciiTheme="minorEastAsia" w:hAnsiTheme="minorEastAsia" w:eastAsiaTheme="minorEastAsia"/>
          <w:color w:val="auto"/>
          <w:sz w:val="28"/>
          <w:szCs w:val="28"/>
          <w:highlight w:val="none"/>
        </w:rPr>
        <w:sectPr>
          <w:footerReference r:id="rId6" w:type="first"/>
          <w:footerReference r:id="rId5" w:type="default"/>
          <w:pgSz w:w="11906" w:h="16838"/>
          <w:pgMar w:top="2098" w:right="1474" w:bottom="1985" w:left="1588" w:header="851" w:footer="992" w:gutter="0"/>
          <w:pgNumType w:fmt="decimal" w:start="1"/>
          <w:cols w:space="425" w:num="1"/>
          <w:docGrid w:type="lines" w:linePitch="312" w:charSpace="0"/>
        </w:sectPr>
      </w:pPr>
      <w:bookmarkStart w:id="129" w:name="_Toc32430"/>
      <w:bookmarkStart w:id="130" w:name="_Toc19423"/>
    </w:p>
    <w:p>
      <w:pPr>
        <w:pStyle w:val="5"/>
        <w:ind w:left="0" w:leftChars="0" w:firstLine="0" w:firstLineChars="0"/>
        <w:rPr>
          <w:rFonts w:hint="eastAsia"/>
        </w:rPr>
      </w:pPr>
      <w:r>
        <w:rPr>
          <w:rFonts w:hint="eastAsia" w:cs="Times New Roman" w:asciiTheme="majorEastAsia" w:hAnsiTheme="majorEastAsia" w:eastAsiaTheme="majorEastAsia"/>
          <w:b/>
          <w:bCs/>
          <w:color w:val="auto"/>
          <w:kern w:val="2"/>
          <w:sz w:val="28"/>
          <w:szCs w:val="28"/>
          <w:highlight w:val="none"/>
          <w:lang w:val="en-US" w:eastAsia="zh-CN" w:bidi="ar-SA"/>
        </w:rPr>
        <w:t>5.报价</w:t>
      </w:r>
      <w:bookmarkEnd w:id="129"/>
      <w:bookmarkEnd w:id="130"/>
      <w:bookmarkStart w:id="131" w:name="_Toc87616402"/>
      <w:bookmarkStart w:id="132" w:name="_Toc88209965"/>
      <w:bookmarkStart w:id="133" w:name="_Toc6058"/>
      <w:bookmarkStart w:id="134" w:name="_Toc16386"/>
    </w:p>
    <w:p>
      <w:pPr>
        <w:tabs>
          <w:tab w:val="left" w:pos="4170"/>
        </w:tabs>
        <w:spacing w:line="360" w:lineRule="auto"/>
        <w:rPr>
          <w:rFonts w:hint="eastAsia" w:ascii="宋体" w:hAnsi="宋体" w:cs="宋体"/>
          <w:b/>
          <w:szCs w:val="21"/>
          <w:lang w:val="en-US" w:eastAsia="zh-CN"/>
        </w:rPr>
      </w:pPr>
      <w:r>
        <w:rPr>
          <w:rFonts w:hint="eastAsia" w:ascii="宋体" w:hAnsi="宋体" w:cs="宋体"/>
          <w:b/>
          <w:szCs w:val="21"/>
          <w:lang w:val="en-US" w:eastAsia="zh-CN"/>
        </w:rPr>
        <w:t>项目一、大坦沙分公司三期滤池超越阀电动执行器优化等项目</w:t>
      </w:r>
    </w:p>
    <w:p>
      <w:pPr>
        <w:pStyle w:val="29"/>
        <w:rPr>
          <w:rFonts w:hint="eastAsia" w:ascii="宋体" w:hAnsi="宋体" w:cs="宋体"/>
          <w:b/>
          <w:szCs w:val="21"/>
          <w:lang w:val="en-US" w:eastAsia="zh-CN"/>
        </w:rPr>
      </w:pPr>
    </w:p>
    <w:p>
      <w:pPr>
        <w:pStyle w:val="29"/>
        <w:rPr>
          <w:rFonts w:hint="eastAsia" w:ascii="宋体" w:hAnsi="宋体" w:cs="宋体"/>
          <w:b/>
          <w:szCs w:val="21"/>
          <w:lang w:val="en-US" w:eastAsia="zh-CN"/>
        </w:rPr>
      </w:pPr>
    </w:p>
    <w:tbl>
      <w:tblPr>
        <w:tblStyle w:val="24"/>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66"/>
        <w:gridCol w:w="12"/>
        <w:gridCol w:w="328"/>
        <w:gridCol w:w="267"/>
        <w:gridCol w:w="821"/>
        <w:gridCol w:w="161"/>
        <w:gridCol w:w="1234"/>
        <w:gridCol w:w="198"/>
        <w:gridCol w:w="906"/>
        <w:gridCol w:w="368"/>
        <w:gridCol w:w="525"/>
        <w:gridCol w:w="105"/>
        <w:gridCol w:w="91"/>
        <w:gridCol w:w="56"/>
        <w:gridCol w:w="428"/>
        <w:gridCol w:w="89"/>
        <w:gridCol w:w="243"/>
        <w:gridCol w:w="393"/>
        <w:gridCol w:w="91"/>
        <w:gridCol w:w="332"/>
        <w:gridCol w:w="304"/>
        <w:gridCol w:w="11"/>
        <w:gridCol w:w="38"/>
        <w:gridCol w:w="453"/>
        <w:gridCol w:w="330"/>
        <w:gridCol w:w="701"/>
        <w:gridCol w:w="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795" w:hRule="atLeast"/>
        </w:trPr>
        <w:tc>
          <w:tcPr>
            <w:tcW w:w="4995" w:type="pct"/>
            <w:gridSpan w:val="26"/>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单位工程招标控制价汇总表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195" w:type="pct"/>
            <w:gridSpan w:val="7"/>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75" w:hRule="atLeast"/>
        </w:trPr>
        <w:tc>
          <w:tcPr>
            <w:tcW w:w="648" w:type="pct"/>
            <w:gridSpan w:val="4"/>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2383" w:type="pct"/>
            <w:gridSpan w:val="8"/>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汇总内容</w:t>
            </w:r>
          </w:p>
        </w:tc>
        <w:tc>
          <w:tcPr>
            <w:tcW w:w="1124" w:type="pct"/>
            <w:gridSpan w:val="10"/>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838" w:type="pct"/>
            <w:gridSpan w:val="4"/>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其中：暂估价(元)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二期滤池超越阀、出水阀，三期滤池超越阀、出水阀、总超越阀</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一二期10#鼓风机出风阀</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措施合计</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r>
              <w:rPr>
                <w:rFonts w:hint="eastAsia" w:ascii="宋体" w:hAnsi="宋体" w:eastAsia="宋体" w:cs="宋体"/>
                <w:color w:val="auto"/>
                <w:kern w:val="0"/>
                <w:sz w:val="20"/>
                <w:szCs w:val="20"/>
                <w:highlight w:val="none"/>
                <w:u w:val="none"/>
                <w:lang w:val="en-US" w:eastAsia="zh-CN" w:bidi="ar"/>
              </w:rPr>
              <w:t>3921.28</w:t>
            </w: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其他措施费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其他项目</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暂列金额</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r>
              <w:rPr>
                <w:rFonts w:hint="eastAsia" w:ascii="宋体" w:hAnsi="宋体" w:eastAsia="宋体" w:cs="宋体"/>
                <w:color w:val="auto"/>
                <w:kern w:val="0"/>
                <w:sz w:val="20"/>
                <w:szCs w:val="20"/>
                <w:lang w:val="en-US" w:eastAsia="zh-CN" w:bidi="ar"/>
              </w:rPr>
              <w:t>12158.02</w:t>
            </w: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计日工</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总承包服务费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预算包干费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工程优质费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概算幅度差</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索赔费用</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现场签证费用</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3.10</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税前工程造价</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增值税销项税额</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总造价</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3031"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招标控制价合计=1+2+3+5</w:t>
            </w:r>
          </w:p>
        </w:tc>
        <w:tc>
          <w:tcPr>
            <w:tcW w:w="1124" w:type="pct"/>
            <w:gridSpan w:val="10"/>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795" w:hRule="atLeast"/>
        </w:trPr>
        <w:tc>
          <w:tcPr>
            <w:tcW w:w="4995" w:type="pct"/>
            <w:gridSpan w:val="26"/>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195" w:type="pct"/>
            <w:gridSpan w:val="7"/>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gridAfter w:val="1"/>
          <w:wAfter w:w="4" w:type="pct"/>
          <w:trHeight w:val="345" w:hRule="atLeast"/>
        </w:trPr>
        <w:tc>
          <w:tcPr>
            <w:tcW w:w="313"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877" w:type="pct"/>
            <w:gridSpan w:val="5"/>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681"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1241" w:type="pct"/>
            <w:gridSpan w:val="7"/>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236"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400"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1245" w:type="pct"/>
            <w:gridSpan w:val="8"/>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45" w:hRule="atLeast"/>
        </w:trPr>
        <w:tc>
          <w:tcPr>
            <w:tcW w:w="313"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681"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241" w:type="pct"/>
            <w:gridSpan w:val="7"/>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6"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00"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26" w:type="pct"/>
            <w:gridSpan w:val="5"/>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432" w:type="pct"/>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45" w:hRule="atLeast"/>
        </w:trPr>
        <w:tc>
          <w:tcPr>
            <w:tcW w:w="313"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681"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241" w:type="pct"/>
            <w:gridSpan w:val="7"/>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6"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00"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26" w:type="pct"/>
            <w:gridSpan w:val="5"/>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32" w:type="pct"/>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08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二期滤池超越阀、出水阀，三期滤池超越阀、出水阀、总超越阀</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84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030503007001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更换电动执行器</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1.拆除原有阀门（DN1400）电动执行器;</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2、安装新的阀门（DN1400）电动执行器（SM30/SC02-</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S(2:1)）;</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3、安装3m长阀门加长杆及耦合器；</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84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030503007002</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更换电动执行器</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1.拆除原有阀门（DN2000）电动执行器;</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2、安装新的阀门（DN2000）电动执行器（SM50/SC02-</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S(4:1)）;</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3、安装3m长阀门加长杆及耦合器；</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82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030408002001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控制电缆</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1.控制线缆规格： RVVP 2*1.5；</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2、敷设方式：综合考虑</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250</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82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030904008001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PLC模块</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1、名称：1756系列PLC专用远程模拟量</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输入模块</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82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030904008002</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PLC模块</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1、名称：1756系列PLC专用远程模拟量</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输出模块</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030904008003</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PLC模块</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1、名称：1756系列PLC专用远程开关量输出模块</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33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030503003001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PLC模块程序编写</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PLC程序编写、调试，上位机</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画面设计、调试，满足项目技</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术需求(1756系列PLC专用远程模拟量输入模块、输出模块、远程开关量输出模块)</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59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010512008001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阀门井盖板</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一、材质：</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1、SUS304不锈钢花纹盖板、1.2mm厚；</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2、角钢：30*30*2mm；</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3、含制作及安装；</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4、其余见方案说明。</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块</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4176" w:type="pct"/>
            <w:gridSpan w:val="23"/>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432" w:type="pct"/>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4995" w:type="pct"/>
            <w:gridSpan w:val="26"/>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2973" w:type="pct"/>
            <w:gridSpan w:val="11"/>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825" w:type="pct"/>
            <w:gridSpan w:val="8"/>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1195" w:type="pct"/>
            <w:gridSpan w:val="7"/>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795" w:hRule="atLeast"/>
        </w:trPr>
        <w:tc>
          <w:tcPr>
            <w:tcW w:w="4995" w:type="pct"/>
            <w:gridSpan w:val="26"/>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195" w:type="pct"/>
            <w:gridSpan w:val="7"/>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2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45" w:hRule="atLeast"/>
        </w:trPr>
        <w:tc>
          <w:tcPr>
            <w:tcW w:w="313"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877" w:type="pct"/>
            <w:gridSpan w:val="5"/>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681"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1241" w:type="pct"/>
            <w:gridSpan w:val="7"/>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236"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400"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1245" w:type="pct"/>
            <w:gridSpan w:val="8"/>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45" w:hRule="atLeast"/>
        </w:trPr>
        <w:tc>
          <w:tcPr>
            <w:tcW w:w="313"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681"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241" w:type="pct"/>
            <w:gridSpan w:val="7"/>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6"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00"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26" w:type="pct"/>
            <w:gridSpan w:val="5"/>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432" w:type="pct"/>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681"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241" w:type="pct"/>
            <w:gridSpan w:val="7"/>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6"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00"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26" w:type="pct"/>
            <w:gridSpan w:val="5"/>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32" w:type="pct"/>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33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二期滤池超越阀、出水阀，三期滤池超越阀、出水阀、总超越阀合计</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一二期10#鼓风机出风阀</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030503007003</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拆除电动执行器</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1.拆除原有阀门（DN800）电动执行器;</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33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030503007004</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安装电动执行器</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1、安装新的阀门（DN800）电动执行器（SM12/SC02-</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S(2:1)）;</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2、安装2.5m长阀门加长杆及耦合器；</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040504001001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扩大井口</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原井口大小直径0.7m，扩大后</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井口尺寸1.2m*1m</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座</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59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010512008003</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阀门井盖板</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一、材质：</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1、SUS304不锈钢花纹盖板、1.2mm厚；</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2、角钢：30*30*2mm；</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3、含制作及安装；</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4、其余见方案说明。</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块</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一二期10#鼓风机出风阀合计</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措施项目</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82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031301016001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阀门井洞内通风</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洞内通风量1000m³/h，风机一</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进一出，两用一备</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82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041108002001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气体检测</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五合一泵吸式气体检测，每2</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小时一次连续检测，每15分钟</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记录一次</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单价措施合计</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4176" w:type="pct"/>
            <w:gridSpan w:val="2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4176" w:type="pct"/>
            <w:gridSpan w:val="23"/>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432" w:type="pct"/>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27"/>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总价措施项目清单与计价表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200" w:type="pct"/>
            <w:gridSpan w:val="8"/>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20" w:type="pct"/>
            <w:gridSpan w:val="2"/>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781"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879"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703" w:type="pct"/>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397"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450" w:type="pct"/>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金额</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450"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443" w:type="pct"/>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调整后金额</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573" w:type="pct"/>
            <w:gridSpan w:val="3"/>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LSSGCSF00001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031301010001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安装与生产同时进行增加费用</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w:t>
            </w: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031301011001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在有害身体健康环境中施工增加费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w:t>
            </w: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TSSGBWZJF001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在地下（暗）室、设备及大口径管道内等特殊施工部位进行施工增加费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按该部分人工费的30%计算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1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粤031302008001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赶工措施费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赶工措施费=（1-δ）*分部分项（人工费+施工机具费）*0.344 （0.8≤δ＜1   式中：δ=合同工期/定额工期）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031302002001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夜间施工增加费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按其夜间施工项目人工费的20%计算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JTGRSGZJF001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交通干扰工程施工增加费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按在市政道路上施工项目人工费的10%计算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粤031302009001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文明工地增加费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以分部分项的人工费与施工机具费之和为计算基础；市级文明工地1.00%；省级文明工地2.00%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20" w:type="pct"/>
            <w:gridSpan w:val="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781" w:type="pct"/>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DXGXJCJXF001</w:t>
            </w:r>
          </w:p>
        </w:tc>
        <w:tc>
          <w:tcPr>
            <w:tcW w:w="879" w:type="pct"/>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地下管线交叉降效费</w:t>
            </w:r>
          </w:p>
        </w:tc>
        <w:tc>
          <w:tcPr>
            <w:tcW w:w="703" w:type="pct"/>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按实际发生或经批准的施工方案计算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73" w:type="pct"/>
            <w:gridSpan w:val="11"/>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编制人（造价人员）：</w:t>
            </w:r>
          </w:p>
        </w:tc>
        <w:tc>
          <w:tcPr>
            <w:tcW w:w="2026" w:type="pct"/>
            <w:gridSpan w:val="16"/>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复核人（造价工程师）：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73" w:type="pct"/>
            <w:gridSpan w:val="11"/>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825" w:type="pct"/>
            <w:gridSpan w:val="8"/>
            <w:tcBorders>
              <w:top w:val="nil"/>
              <w:left w:val="nil"/>
              <w:bottom w:val="nil"/>
              <w:right w:val="nil"/>
            </w:tcBorders>
            <w:shd w:val="clear" w:color="FFFFFF" w:fill="FFFFFF"/>
            <w:vAlign w:val="top"/>
          </w:tcPr>
          <w:p>
            <w:pPr>
              <w:jc w:val="right"/>
              <w:rPr>
                <w:rFonts w:hint="eastAsia" w:ascii="宋体" w:hAnsi="宋体" w:eastAsia="宋体" w:cs="宋体"/>
                <w:i w:val="0"/>
                <w:iCs w:val="0"/>
                <w:color w:val="000000"/>
                <w:sz w:val="18"/>
                <w:szCs w:val="18"/>
                <w:u w:val="none"/>
              </w:rPr>
            </w:pPr>
          </w:p>
        </w:tc>
        <w:tc>
          <w:tcPr>
            <w:tcW w:w="1200" w:type="pct"/>
            <w:gridSpan w:val="8"/>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27"/>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总价措施项目清单与计价表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200" w:type="pct"/>
            <w:gridSpan w:val="8"/>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2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20" w:type="pct"/>
            <w:gridSpan w:val="2"/>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781"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879"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703" w:type="pct"/>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397"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450" w:type="pct"/>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金额</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450"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443" w:type="pct"/>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调整后金额</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573" w:type="pct"/>
            <w:gridSpan w:val="3"/>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QTFY00000001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按实际发生或经批准的施工组织设计方案计算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081" w:type="pct"/>
            <w:gridSpan w:val="13"/>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450" w:type="pct"/>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8"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795" w:hRule="atLeast"/>
        </w:trPr>
        <w:tc>
          <w:tcPr>
            <w:tcW w:w="4995" w:type="pct"/>
            <w:gridSpan w:val="26"/>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其他项目清单与计价汇总表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195" w:type="pct"/>
            <w:gridSpan w:val="7"/>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75" w:hRule="atLeast"/>
        </w:trPr>
        <w:tc>
          <w:tcPr>
            <w:tcW w:w="501" w:type="pct"/>
            <w:gridSpan w:val="3"/>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1979" w:type="pct"/>
            <w:gridSpan w:val="6"/>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917" w:type="pct"/>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752"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结算金额（元）</w:t>
            </w:r>
          </w:p>
        </w:tc>
        <w:tc>
          <w:tcPr>
            <w:tcW w:w="844" w:type="pct"/>
            <w:gridSpan w:val="5"/>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暂列金额</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0.00</w:t>
            </w: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材料暂估价</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专业工程暂估价</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0.00</w:t>
            </w: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计日工</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总承包服务费</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预算包干费</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工程优质费</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概算幅度差</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现场签证费用</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索赔费用</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jc w:val="both"/>
              <w:rPr>
                <w:rFonts w:hint="eastAsia" w:ascii="宋体" w:hAnsi="宋体" w:eastAsia="宋体" w:cs="宋体"/>
                <w:i w:val="0"/>
                <w:iCs w:val="0"/>
                <w:color w:val="000000"/>
                <w:sz w:val="20"/>
                <w:szCs w:val="20"/>
                <w:u w:val="none"/>
              </w:rPr>
            </w:pP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360" w:hRule="atLeast"/>
        </w:trPr>
        <w:tc>
          <w:tcPr>
            <w:tcW w:w="2480" w:type="pct"/>
            <w:gridSpan w:val="9"/>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917" w:type="pct"/>
            <w:gridSpan w:val="7"/>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r>
    </w:tbl>
    <w:p>
      <w:pPr>
        <w:pStyle w:val="29"/>
        <w:rPr>
          <w:rFonts w:hint="default" w:ascii="宋体" w:hAnsi="宋体" w:cs="宋体"/>
          <w:b/>
          <w:szCs w:val="21"/>
          <w:lang w:val="en-US" w:eastAsia="zh-CN"/>
        </w:rPr>
      </w:pPr>
    </w:p>
    <w:p>
      <w:pPr>
        <w:keepNext w:val="0"/>
        <w:keepLines w:val="0"/>
        <w:widowControl/>
        <w:suppressLineNumbers w:val="0"/>
        <w:jc w:val="both"/>
        <w:textAlignment w:val="center"/>
        <w:rPr>
          <w:rFonts w:hint="eastAsia" w:ascii="宋体" w:hAnsi="宋体" w:cs="宋体"/>
          <w:b/>
          <w:szCs w:val="21"/>
          <w:lang w:val="en-US" w:eastAsia="zh-CN"/>
        </w:rPr>
      </w:pPr>
      <w:r>
        <w:rPr>
          <w:rFonts w:hint="eastAsia" w:ascii="宋体" w:hAnsi="宋体" w:cs="宋体"/>
          <w:b/>
          <w:szCs w:val="21"/>
          <w:lang w:val="en-US" w:eastAsia="zh-CN"/>
        </w:rPr>
        <w:t>项目二、大坦沙分公司二期内回流泵远程控制优化项目</w:t>
      </w:r>
    </w:p>
    <w:p>
      <w:pPr>
        <w:pStyle w:val="29"/>
        <w:rPr>
          <w:rFonts w:hint="eastAsia" w:ascii="宋体" w:hAnsi="宋体" w:cs="宋体"/>
          <w:b/>
          <w:szCs w:val="21"/>
          <w:lang w:val="en-US" w:eastAsia="zh-CN"/>
        </w:rPr>
      </w:pPr>
    </w:p>
    <w:p>
      <w:pPr>
        <w:pStyle w:val="29"/>
        <w:rPr>
          <w:rFonts w:hint="eastAsia" w:ascii="宋体" w:hAnsi="宋体" w:cs="宋体"/>
          <w:b/>
          <w:szCs w:val="21"/>
          <w:lang w:val="en-US" w:eastAsia="zh-CN"/>
        </w:rPr>
      </w:pP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3"/>
        <w:gridCol w:w="1214"/>
        <w:gridCol w:w="1791"/>
        <w:gridCol w:w="1214"/>
        <w:gridCol w:w="1214"/>
        <w:gridCol w:w="1207"/>
        <w:gridCol w:w="1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13" w:type="dxa"/>
          </w:tcPr>
          <w:p>
            <w:pPr>
              <w:pStyle w:val="29"/>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序号</w:t>
            </w:r>
          </w:p>
        </w:tc>
        <w:tc>
          <w:tcPr>
            <w:tcW w:w="1214" w:type="dxa"/>
          </w:tcPr>
          <w:p>
            <w:pPr>
              <w:pStyle w:val="29"/>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实施内容</w:t>
            </w:r>
          </w:p>
        </w:tc>
        <w:tc>
          <w:tcPr>
            <w:tcW w:w="1791" w:type="dxa"/>
          </w:tcPr>
          <w:p>
            <w:pPr>
              <w:pStyle w:val="29"/>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特征描述</w:t>
            </w:r>
          </w:p>
        </w:tc>
        <w:tc>
          <w:tcPr>
            <w:tcW w:w="1214" w:type="dxa"/>
          </w:tcPr>
          <w:p>
            <w:pPr>
              <w:pStyle w:val="29"/>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单位</w:t>
            </w:r>
          </w:p>
        </w:tc>
        <w:tc>
          <w:tcPr>
            <w:tcW w:w="1214" w:type="dxa"/>
          </w:tcPr>
          <w:p>
            <w:pPr>
              <w:pStyle w:val="29"/>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数量</w:t>
            </w:r>
          </w:p>
        </w:tc>
        <w:tc>
          <w:tcPr>
            <w:tcW w:w="1207" w:type="dxa"/>
          </w:tcPr>
          <w:p>
            <w:pPr>
              <w:pStyle w:val="29"/>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单价</w:t>
            </w:r>
          </w:p>
        </w:tc>
        <w:tc>
          <w:tcPr>
            <w:tcW w:w="1207" w:type="dxa"/>
          </w:tcPr>
          <w:p>
            <w:pPr>
              <w:pStyle w:val="29"/>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合价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1</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现场施工</w:t>
            </w:r>
          </w:p>
        </w:tc>
        <w:tc>
          <w:tcPr>
            <w:tcW w:w="1791"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color w:val="000000"/>
                <w:sz w:val="21"/>
                <w:szCs w:val="21"/>
              </w:rPr>
              <w:t>1、安装罗克韦尔2080-LC50-24QBB的 PLC及RS485通讯模块（设备甲供）至 PLC控制柜； 2、从PLC的485模块处敷设RVVP2*1.5 控制电缆至变频器20号端子，控制电 缆的屏蔽网接地，线缆长2.5m； 3、断开原PLC与回流泵的软启控制电 缆；</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项</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1</w:t>
            </w:r>
          </w:p>
        </w:tc>
        <w:tc>
          <w:tcPr>
            <w:tcW w:w="1207" w:type="dxa"/>
          </w:tcPr>
          <w:p>
            <w:pPr>
              <w:pStyle w:val="29"/>
              <w:jc w:val="center"/>
              <w:rPr>
                <w:rFonts w:hint="eastAsia" w:ascii="仿宋" w:hAnsi="仿宋" w:eastAsia="仿宋" w:cs="仿宋"/>
                <w:b w:val="0"/>
                <w:bCs/>
                <w:sz w:val="32"/>
                <w:szCs w:val="24"/>
                <w:vertAlign w:val="baseline"/>
                <w:lang w:val="en-US" w:eastAsia="zh-CN"/>
              </w:rPr>
            </w:pPr>
          </w:p>
        </w:tc>
        <w:tc>
          <w:tcPr>
            <w:tcW w:w="1207" w:type="dxa"/>
          </w:tcPr>
          <w:p>
            <w:pPr>
              <w:pStyle w:val="29"/>
              <w:jc w:val="center"/>
              <w:rPr>
                <w:rFonts w:hint="eastAsia" w:ascii="仿宋" w:hAnsi="仿宋" w:eastAsia="仿宋" w:cs="仿宋"/>
                <w:b w:val="0"/>
                <w:bCs/>
                <w:sz w:val="32"/>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2</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程序编写</w:t>
            </w:r>
          </w:p>
        </w:tc>
        <w:tc>
          <w:tcPr>
            <w:tcW w:w="1791"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color w:val="000000"/>
                <w:sz w:val="21"/>
                <w:szCs w:val="21"/>
              </w:rPr>
              <w:t>编写PLC程序通过触摸屏经485控制变 频器频率及读取变频器频率，同时开 发触摸屏及上位机界面实现就地/远程 控制切换、远程/就地调频控制、回流 泵运行频率显示。</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项</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1</w:t>
            </w:r>
          </w:p>
        </w:tc>
        <w:tc>
          <w:tcPr>
            <w:tcW w:w="1207" w:type="dxa"/>
          </w:tcPr>
          <w:p>
            <w:pPr>
              <w:pStyle w:val="29"/>
              <w:jc w:val="center"/>
              <w:rPr>
                <w:rFonts w:hint="eastAsia" w:ascii="仿宋" w:hAnsi="仿宋" w:eastAsia="仿宋" w:cs="仿宋"/>
                <w:b w:val="0"/>
                <w:bCs/>
                <w:sz w:val="32"/>
                <w:szCs w:val="24"/>
                <w:vertAlign w:val="baseline"/>
                <w:lang w:val="en-US" w:eastAsia="zh-CN"/>
              </w:rPr>
            </w:pPr>
          </w:p>
        </w:tc>
        <w:tc>
          <w:tcPr>
            <w:tcW w:w="1207" w:type="dxa"/>
          </w:tcPr>
          <w:p>
            <w:pPr>
              <w:pStyle w:val="29"/>
              <w:jc w:val="center"/>
              <w:rPr>
                <w:rFonts w:hint="eastAsia" w:ascii="仿宋" w:hAnsi="仿宋" w:eastAsia="仿宋" w:cs="仿宋"/>
                <w:b w:val="0"/>
                <w:bCs/>
                <w:sz w:val="32"/>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3</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调试</w:t>
            </w:r>
          </w:p>
        </w:tc>
        <w:tc>
          <w:tcPr>
            <w:tcW w:w="1791"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color w:val="000000"/>
                <w:sz w:val="21"/>
                <w:szCs w:val="21"/>
              </w:rPr>
              <w:t>回流泵、PLC、组态等，单调、联调</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项</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1</w:t>
            </w:r>
          </w:p>
        </w:tc>
        <w:tc>
          <w:tcPr>
            <w:tcW w:w="1207" w:type="dxa"/>
          </w:tcPr>
          <w:p>
            <w:pPr>
              <w:pStyle w:val="29"/>
              <w:jc w:val="center"/>
              <w:rPr>
                <w:rFonts w:hint="eastAsia" w:ascii="仿宋" w:hAnsi="仿宋" w:eastAsia="仿宋" w:cs="仿宋"/>
                <w:b w:val="0"/>
                <w:bCs/>
                <w:sz w:val="32"/>
                <w:szCs w:val="24"/>
                <w:vertAlign w:val="baseline"/>
                <w:lang w:val="en-US" w:eastAsia="zh-CN"/>
              </w:rPr>
            </w:pPr>
          </w:p>
        </w:tc>
        <w:tc>
          <w:tcPr>
            <w:tcW w:w="1207" w:type="dxa"/>
          </w:tcPr>
          <w:p>
            <w:pPr>
              <w:pStyle w:val="29"/>
              <w:jc w:val="center"/>
              <w:rPr>
                <w:rFonts w:hint="eastAsia" w:ascii="仿宋" w:hAnsi="仿宋" w:eastAsia="仿宋" w:cs="仿宋"/>
                <w:b w:val="0"/>
                <w:bCs/>
                <w:sz w:val="32"/>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2" w:type="dxa"/>
            <w:gridSpan w:val="4"/>
            <w:vAlign w:val="center"/>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税费</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9%</w:t>
            </w:r>
          </w:p>
        </w:tc>
        <w:tc>
          <w:tcPr>
            <w:tcW w:w="1207" w:type="dxa"/>
          </w:tcPr>
          <w:p>
            <w:pPr>
              <w:pStyle w:val="29"/>
              <w:jc w:val="center"/>
              <w:rPr>
                <w:rFonts w:hint="eastAsia" w:ascii="仿宋" w:hAnsi="仿宋" w:eastAsia="仿宋" w:cs="仿宋"/>
                <w:b w:val="0"/>
                <w:bCs/>
                <w:sz w:val="32"/>
                <w:szCs w:val="24"/>
                <w:vertAlign w:val="baseline"/>
                <w:lang w:val="en-US" w:eastAsia="zh-CN"/>
              </w:rPr>
            </w:pPr>
          </w:p>
        </w:tc>
        <w:tc>
          <w:tcPr>
            <w:tcW w:w="1207" w:type="dxa"/>
          </w:tcPr>
          <w:p>
            <w:pPr>
              <w:pStyle w:val="29"/>
              <w:jc w:val="center"/>
              <w:rPr>
                <w:rFonts w:hint="eastAsia" w:ascii="仿宋" w:hAnsi="仿宋" w:eastAsia="仿宋" w:cs="仿宋"/>
                <w:b w:val="0"/>
                <w:bCs/>
                <w:sz w:val="32"/>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53" w:type="dxa"/>
            <w:gridSpan w:val="6"/>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合计</w:t>
            </w:r>
          </w:p>
        </w:tc>
        <w:tc>
          <w:tcPr>
            <w:tcW w:w="1207" w:type="dxa"/>
          </w:tcPr>
          <w:p>
            <w:pPr>
              <w:pStyle w:val="29"/>
              <w:jc w:val="center"/>
              <w:rPr>
                <w:rFonts w:hint="eastAsia" w:ascii="仿宋" w:hAnsi="仿宋" w:eastAsia="仿宋" w:cs="仿宋"/>
                <w:b w:val="0"/>
                <w:bCs/>
                <w:sz w:val="32"/>
                <w:szCs w:val="24"/>
                <w:vertAlign w:val="baseline"/>
                <w:lang w:val="en-US" w:eastAsia="zh-CN"/>
              </w:rPr>
            </w:pPr>
          </w:p>
        </w:tc>
      </w:tr>
    </w:tbl>
    <w:p>
      <w:pPr>
        <w:pStyle w:val="29"/>
        <w:rPr>
          <w:rFonts w:hint="default" w:ascii="宋体" w:hAnsi="宋体" w:cs="宋体"/>
          <w:b/>
          <w:szCs w:val="21"/>
          <w:lang w:val="en-US" w:eastAsia="zh-CN"/>
        </w:rPr>
      </w:pPr>
    </w:p>
    <w:p>
      <w:pPr>
        <w:pStyle w:val="29"/>
        <w:rPr>
          <w:rFonts w:hint="eastAsia" w:hAnsi="宋体" w:cs="宋体"/>
          <w:b/>
          <w:szCs w:val="21"/>
          <w:lang w:val="en-US" w:eastAsia="zh-CN"/>
        </w:rPr>
      </w:pPr>
      <w:r>
        <w:rPr>
          <w:rFonts w:hint="eastAsia" w:hAnsi="宋体" w:cs="宋体"/>
          <w:b/>
          <w:szCs w:val="21"/>
          <w:lang w:val="en-US" w:eastAsia="zh-CN"/>
        </w:rPr>
        <w:t>项目三：大坦沙分公司二期生化池光伏照明系统等维修项目</w:t>
      </w:r>
    </w:p>
    <w:tbl>
      <w:tblPr>
        <w:tblStyle w:val="24"/>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16"/>
        <w:gridCol w:w="282"/>
        <w:gridCol w:w="353"/>
        <w:gridCol w:w="353"/>
        <w:gridCol w:w="353"/>
        <w:gridCol w:w="361"/>
        <w:gridCol w:w="1022"/>
        <w:gridCol w:w="234"/>
        <w:gridCol w:w="234"/>
        <w:gridCol w:w="1685"/>
        <w:gridCol w:w="276"/>
        <w:gridCol w:w="214"/>
        <w:gridCol w:w="214"/>
        <w:gridCol w:w="207"/>
        <w:gridCol w:w="207"/>
        <w:gridCol w:w="207"/>
        <w:gridCol w:w="218"/>
        <w:gridCol w:w="210"/>
        <w:gridCol w:w="209"/>
        <w:gridCol w:w="209"/>
        <w:gridCol w:w="209"/>
        <w:gridCol w:w="163"/>
        <w:gridCol w:w="93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23"/>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单位工程预算汇总表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工程名称：大坦沙分公司二期生化池光伏照明系统等维修项目</w:t>
            </w:r>
          </w:p>
        </w:tc>
        <w:tc>
          <w:tcPr>
            <w:tcW w:w="0" w:type="auto"/>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0" w:type="auto"/>
            <w:gridSpan w:val="5"/>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汇总内容</w:t>
            </w:r>
          </w:p>
        </w:tc>
        <w:tc>
          <w:tcPr>
            <w:tcW w:w="0" w:type="auto"/>
            <w:gridSpan w:val="8"/>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0" w:type="auto"/>
            <w:gridSpan w:val="5"/>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其中：暂估价(元)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大坦沙分公司三期广场建设三期广场照明</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二期光伏系统修复</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措施合计</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4300.44</w:t>
            </w: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其他措施费</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其他项目</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暂列金额</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计日工</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总承包服务费</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预算包干费</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工程优质费</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概算幅度差</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索赔费用</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现场签证费用</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税前工程造价</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增值税销项税额</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总造价</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人工费</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预算价合计=1+2+3+5</w:t>
            </w:r>
          </w:p>
        </w:tc>
        <w:tc>
          <w:tcPr>
            <w:tcW w:w="0" w:type="auto"/>
            <w:gridSpan w:val="8"/>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3"/>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注：本表适用于单位工程招标控制价或投标报价的汇总，如无单位工程划分，单项工程也使用本表汇总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nil"/>
              <w:left w:val="nil"/>
              <w:bottom w:val="nil"/>
              <w:right w:val="nil"/>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0" w:type="auto"/>
            <w:gridSpan w:val="8"/>
            <w:tcBorders>
              <w:top w:val="nil"/>
              <w:left w:val="nil"/>
              <w:bottom w:val="nil"/>
              <w:right w:val="nil"/>
            </w:tcBorders>
            <w:shd w:val="clear" w:color="FFFFFF" w:fill="FFFFFF"/>
            <w:vAlign w:val="center"/>
          </w:tcPr>
          <w:p>
            <w:pPr>
              <w:jc w:val="center"/>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23"/>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工程名称：大坦沙分公司二期生化池光伏照明系统等维修项目</w:t>
            </w:r>
          </w:p>
        </w:tc>
        <w:tc>
          <w:tcPr>
            <w:tcW w:w="0" w:type="auto"/>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5"/>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4"/>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0" w:type="auto"/>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0" w:type="auto"/>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大坦沙分公司三期广场建设三期广场照明</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030412008001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风光互补型路灯</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1.名称:风光互补型路灯</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2.灯杆的材质及高度:Q235钢 8m</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3.电池规格:100AH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4.光源规格:60W（LED）</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5.太阳能板规格:60W*2</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6.防护等级:IP65</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7.风机规格:300W</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套</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030412008002</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路灯基础</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1.基础尺寸:长800*宽800*深1000（含地笼）</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2.挖掘基础坑 放置模板 </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3.地笼钢筋安装 接地</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4.浇筑混凝土</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5.恢复绿化</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套</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大坦沙分公司三期广场建设三期广场照明合计</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二期光伏系统修复</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031006005001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光伏板制安</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1.名称:光伏板制安</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2.功率:550W</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3.尺寸:2279*1134*30mm</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块</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030404036001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太阳能逆控一体机</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1.名称:太阳能逆控一体机</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2.电压:48V</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3.额定功率:2000W</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4.电流:60A</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5.含安装及调试</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030405001001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胶体电池</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1.名称:胶体电池</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2.电压:12V(电池串联 48V)</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3.电池容量:200AH</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030411004001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线缆敷设 BVR-4mm</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1.名称:线缆敷设</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2.规格:BVR-4mm</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030411001001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线管敷设</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1.名称:线管敷设</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2.材质:PC管线</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3.规格:DN30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031006005002</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旧光伏板拆除</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1.名称:旧光伏板拆除</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2.尺寸:135*125cm</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块</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60" w:hRule="atLeast"/>
        </w:trPr>
        <w:tc>
          <w:tcPr>
            <w:tcW w:w="0" w:type="auto"/>
            <w:gridSpan w:val="18"/>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23"/>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10"/>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0" w:type="auto"/>
            <w:gridSpan w:val="8"/>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0" w:type="auto"/>
            <w:gridSpan w:val="5"/>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23"/>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工程名称：大坦沙分公司二期生化池光伏照明系统等维修项目</w:t>
            </w:r>
          </w:p>
        </w:tc>
        <w:tc>
          <w:tcPr>
            <w:tcW w:w="0" w:type="auto"/>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2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5"/>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4"/>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0" w:type="auto"/>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0" w:type="auto"/>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030307005001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不锈钢支架制作安装</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1.名称:不锈钢支架制作安装</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2.材质:304不锈钢</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3.由于承托新增光伏板突出部分</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0.02</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二期光伏系统修复合计</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措施项目</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031302007001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高层施工增加</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031301017001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脚手架搭拆费</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单价措施合计</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8"/>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8"/>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23"/>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10"/>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0" w:type="auto"/>
            <w:gridSpan w:val="8"/>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0" w:type="auto"/>
            <w:gridSpan w:val="5"/>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23"/>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总价措施项目清单与计价表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工程名称：大坦沙分公司二期生化池光伏照明系统等维修项目</w:t>
            </w:r>
          </w:p>
        </w:tc>
        <w:tc>
          <w:tcPr>
            <w:tcW w:w="0" w:type="auto"/>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2"/>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0" w:type="auto"/>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金额</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费率(%)</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调整后</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0" w:type="auto"/>
            <w:gridSpan w:val="2"/>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LSSGCSF00001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4300.44</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031301010001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安装与生产同时进行增加费用</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031301011001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在有害身体健康环境中施工增加费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TSSGBWZJF001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在地下（暗）室、设备及大口径管道内等特殊施工部位进行施工增加费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按该部分人工费的30%计算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65"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粤031302008001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赶工措施费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赶工措施费=（1-δ）*分部分项（人工费+施工机具费）*0.344 （0.8≤δ＜1   式中：δ=合同工期/定额工期）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031302002001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夜间施工增加费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按其夜间施工项目人工费的20%计算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JTGRSGZJF001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交通干扰工程施工增加费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按在市政道路上施工项目人工费的10%计算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355"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粤031302009001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文明工地增加费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以分部分项的人工费与施工机具费之和为计算基础；市级文明工地1.00%；省级文明工地2.00%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DXGXJCJXF001</w:t>
            </w:r>
          </w:p>
        </w:tc>
        <w:tc>
          <w:tcPr>
            <w:tcW w:w="0" w:type="auto"/>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地下管线交叉降效费</w:t>
            </w:r>
          </w:p>
        </w:tc>
        <w:tc>
          <w:tcPr>
            <w:tcW w:w="0" w:type="auto"/>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按实际发生或经批准的施工方案计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编制人（造价人员）：</w:t>
            </w:r>
          </w:p>
        </w:tc>
        <w:tc>
          <w:tcPr>
            <w:tcW w:w="0" w:type="auto"/>
            <w:gridSpan w:val="13"/>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复核人（造价工程师）：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8"/>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23"/>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总价措施项目清单与计价表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工程名称：大坦沙分公司二期生化池光伏照明系统等维修项目</w:t>
            </w:r>
          </w:p>
        </w:tc>
        <w:tc>
          <w:tcPr>
            <w:tcW w:w="0" w:type="auto"/>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2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2"/>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0" w:type="auto"/>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金额</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费率(%)</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调整后</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0" w:type="auto"/>
            <w:gridSpan w:val="2"/>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QTFY00000001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按实际发生或经批准的施工组织设计方案计算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0" w:type="auto"/>
            <w:gridSpan w:val="5"/>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4300.44</w:t>
            </w: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8"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编制人（造价人员）：</w:t>
            </w:r>
          </w:p>
        </w:tc>
        <w:tc>
          <w:tcPr>
            <w:tcW w:w="0" w:type="auto"/>
            <w:gridSpan w:val="13"/>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复核人（造价工程师）：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8"/>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23"/>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其他项目清单与计价汇总表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工程名称：大坦沙分公司二期生化池光伏照明系统等维修项目</w:t>
            </w:r>
          </w:p>
        </w:tc>
        <w:tc>
          <w:tcPr>
            <w:tcW w:w="0" w:type="auto"/>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0" w:type="auto"/>
            <w:gridSpan w:val="4"/>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6"/>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0" w:type="auto"/>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结算金额（元）</w:t>
            </w:r>
          </w:p>
        </w:tc>
        <w:tc>
          <w:tcPr>
            <w:tcW w:w="0" w:type="auto"/>
            <w:gridSpan w:val="4"/>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暂列金额</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材料暂估价</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专业工程暂估价</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计日工</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总承包服务费</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预算包干费</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工程优质费</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概算幅度差</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现场签证费用</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索赔费用</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0" w:type="auto"/>
            <w:gridSpan w:val="6"/>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0" w:type="auto"/>
            <w:gridSpan w:val="4"/>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3"/>
            <w:tcBorders>
              <w:top w:val="nil"/>
              <w:left w:val="nil"/>
              <w:bottom w:val="nil"/>
              <w:right w:val="nil"/>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注：材料（工程设备）暂估单价进入清单项目综合单价，此处不汇总。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8"/>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23"/>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规费、税金项目清单与计价表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工程名称：大坦沙分公司二期生化池光伏照明系统等维修项目</w:t>
            </w:r>
          </w:p>
        </w:tc>
        <w:tc>
          <w:tcPr>
            <w:tcW w:w="0" w:type="auto"/>
            <w:gridSpan w:val="8"/>
            <w:tcBorders>
              <w:top w:val="nil"/>
              <w:left w:val="nil"/>
              <w:bottom w:val="nil"/>
              <w:right w:val="nil"/>
            </w:tcBorders>
            <w:shd w:val="clear" w:color="FFFFFF" w:fill="FFFFFF"/>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3"/>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0" w:type="auto"/>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取费基数</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计算费率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0" w:type="auto"/>
            <w:gridSpan w:val="3"/>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0" w:type="auto"/>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增值税销项税额</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分部分项合计+措施合计+其他项目</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0"/>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合    计</w:t>
            </w:r>
          </w:p>
        </w:tc>
        <w:tc>
          <w:tcPr>
            <w:tcW w:w="0" w:type="auto"/>
            <w:gridSpan w:val="3"/>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nil"/>
              <w:left w:val="nil"/>
              <w:bottom w:val="nil"/>
              <w:right w:val="nil"/>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 编制人（造价人员）：</w:t>
            </w:r>
          </w:p>
        </w:tc>
        <w:tc>
          <w:tcPr>
            <w:tcW w:w="0" w:type="auto"/>
            <w:gridSpan w:val="13"/>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复核人（造价工程师）：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nil"/>
              <w:left w:val="nil"/>
              <w:bottom w:val="nil"/>
              <w:right w:val="nil"/>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0" w:type="auto"/>
            <w:gridSpan w:val="8"/>
            <w:tcBorders>
              <w:top w:val="nil"/>
              <w:left w:val="nil"/>
              <w:bottom w:val="nil"/>
              <w:right w:val="nil"/>
            </w:tcBorders>
            <w:shd w:val="clear" w:color="FFFFFF" w:fill="FFFFFF"/>
            <w:vAlign w:val="center"/>
          </w:tcPr>
          <w:p>
            <w:pPr>
              <w:jc w:val="center"/>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表—13</w:t>
            </w:r>
          </w:p>
        </w:tc>
      </w:tr>
    </w:tbl>
    <w:p>
      <w:pPr>
        <w:pStyle w:val="29"/>
        <w:rPr>
          <w:rFonts w:hint="eastAsia" w:hAnsi="宋体" w:cs="宋体"/>
          <w:b/>
          <w:szCs w:val="21"/>
          <w:lang w:val="en-US" w:eastAsia="zh-CN"/>
        </w:rPr>
      </w:pPr>
      <w:r>
        <w:rPr>
          <w:rFonts w:hint="eastAsia" w:hAnsi="宋体" w:cs="宋体"/>
          <w:b/>
          <w:szCs w:val="21"/>
          <w:lang w:val="en-US" w:eastAsia="zh-CN"/>
        </w:rPr>
        <w:t>项目四：大坦沙分公司厂区滤池等排风机维修项目</w:t>
      </w:r>
    </w:p>
    <w:tbl>
      <w:tblPr>
        <w:tblStyle w:val="24"/>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16"/>
        <w:gridCol w:w="1420"/>
        <w:gridCol w:w="895"/>
        <w:gridCol w:w="227"/>
        <w:gridCol w:w="227"/>
        <w:gridCol w:w="2114"/>
        <w:gridCol w:w="142"/>
        <w:gridCol w:w="142"/>
        <w:gridCol w:w="321"/>
        <w:gridCol w:w="298"/>
        <w:gridCol w:w="297"/>
        <w:gridCol w:w="175"/>
        <w:gridCol w:w="206"/>
        <w:gridCol w:w="218"/>
        <w:gridCol w:w="208"/>
        <w:gridCol w:w="208"/>
        <w:gridCol w:w="208"/>
        <w:gridCol w:w="157"/>
        <w:gridCol w:w="88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单位工程预算汇总表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0" w:type="auto"/>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汇总内容</w:t>
            </w:r>
          </w:p>
        </w:tc>
        <w:tc>
          <w:tcPr>
            <w:tcW w:w="0" w:type="auto"/>
            <w:gridSpan w:val="9"/>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0" w:type="auto"/>
            <w:gridSpan w:val="5"/>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其中：暂估价(元)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一期滤池</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二期滤池</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三期滤池</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一二期新鼓风机房</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一二期4#变压器房</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一二期1号2号4号低压房</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措施合计</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color w:val="auto"/>
                <w:kern w:val="0"/>
                <w:sz w:val="20"/>
                <w:szCs w:val="20"/>
                <w:lang w:val="en-US" w:eastAsia="zh-CN" w:bidi="ar"/>
              </w:rPr>
              <w:t>4378.68</w:t>
            </w: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其他措施费</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其他项目</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暂列金额</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计日工</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总承包服务费</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预算包干费</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工程优质费</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概算幅度差</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索赔费用</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现场签证费用</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3.10</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税前工程造价</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增值税销项税额</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总造价</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人工费</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预算价合计=1+2+3+5</w:t>
            </w:r>
          </w:p>
        </w:tc>
        <w:tc>
          <w:tcPr>
            <w:tcW w:w="0" w:type="auto"/>
            <w:gridSpan w:val="9"/>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9"/>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注：本表适用于单位工程招标控制价或投标报价的汇总，如无单位工程划分，单项工程也使用本表汇总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nil"/>
              <w:left w:val="nil"/>
              <w:bottom w:val="nil"/>
              <w:right w:val="nil"/>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center"/>
          </w:tcPr>
          <w:p>
            <w:pPr>
              <w:jc w:val="center"/>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6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0" w:type="auto"/>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一期滤池</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1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排风机（坐地式）</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1.名称:排风机（坐地式）</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风量：7920m³/h；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全压：185PA；</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功率：0.75kw；</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电源：380V/50hz/3ph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3.尺寸:φ500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4.基础底座:980*980*63（利旧）</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5.高空措施：8-10m</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6.拆除原有损坏排风机，安装新排风机（拆除风机不回收，由施工单位负责清理）</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7.接线及调试</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030108006002</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排风机（壁挂）拆除</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1.名称:排风机（壁挂）拆除</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2.规格:500*500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3.高空措施：8-10m</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4.拆除风机不回收，由施工单位负责清理</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041001001001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拆除路面</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1.材质:混凝土</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2.厚度:20cm</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040203007001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修复路面</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1.混凝土强度等级:C30</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2.厚度:20cm</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4"/>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19"/>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0" w:type="auto"/>
            <w:gridSpan w:val="5"/>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2 页  共 6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0" w:type="auto"/>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1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011102003001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瓷砖敷设</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1.名称:瓷砖敷设</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2.尺寸:30*30（cm）</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3.颜色款式根据现场确定</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030411004001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线缆敷设</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1.名称:线缆敷设</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2.型号:ZR-BYJ-500V-4</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030411004002</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线缆敷设</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1.名称:线缆敷设</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2.型号:ZR-BYJ-500V-2.5</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030411001001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PC线管</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1.名称:PC线管</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2.规格:DN32</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二期滤池</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4"/>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19"/>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0" w:type="auto"/>
            <w:gridSpan w:val="5"/>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3 页  共 6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0" w:type="auto"/>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1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030108006003</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排风机（坐地式）</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1.名称:排风机（坐地式）</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风量：4740m³/h；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全压：165PA；</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功率：0.55kw；</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电源：380V/50hz/3ph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3.高空措施：5-6m</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4.尺寸:φ400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5.基础底座:880*880*63*(利旧)</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6.拆除原有损坏排风机，安装新排风机（拆除风机不回收，由施工单位负责清理）</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7.接线及调试</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1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030108006004</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排风机（壁挂）拆除</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1.名称:排风机（壁挂）拆除</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2.规格:600*600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3.高空措施：5-6m</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三期滤池</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4"/>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19"/>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0" w:type="auto"/>
            <w:gridSpan w:val="5"/>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4 页  共 6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0" w:type="auto"/>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030108006005</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排风机（坐地式）</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1.名称:排风机（坐地式）</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风量：9690m³/h；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全压：180PA；</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功率：1.1kw；</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电源：380V/50hz/3ph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3.尺寸:φ600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4.基础底座:880*880*63*(利旧)</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5.拆除原有损坏排风机，安装新排风机（拆除风机不回收，由施工单位负责清理）</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6.接线及调试</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030108006006</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排风机（壁挂）拆除</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1.名称:排风机（壁挂）拆除</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2.规格:600*600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一二期新鼓风机房</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4"/>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19"/>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0" w:type="auto"/>
            <w:gridSpan w:val="5"/>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5 页  共 6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0" w:type="auto"/>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5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030108006007</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排风机（壁挂）</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1.名称:排风机（壁挂）</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风量：7115m³/h；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全压：100PA；</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功率：0.37kw；</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电源：380V/50hz/3ph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3.尺寸:600*600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4.拆除原有损坏排风机，安装新排风机（拆除风机不回收，由施工单位负责清理）</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5.接线及调试</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一二期4#变压器房</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9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030108006008</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排风机（壁挂）</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1.名称:排风机（壁挂）</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2.规格:风量：6790m³/h；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全压：100PA；</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功率：0.37kw；</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电源：380V/50hz/3ph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3.尺寸:500*500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4.拆除原有损坏排风机，安装新排风机（拆除风机不回收，由施工单位负责清理）</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5.接线及调试</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一二期1号2号4号低压房</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4"/>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19"/>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0" w:type="auto"/>
            <w:gridSpan w:val="5"/>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6 页  共 6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0" w:type="auto"/>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9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030108006009</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排风机（壁挂）</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1.名称:排风机（壁挂）</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2.规格:风量：6790m³/h；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全压：100PA；</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功率：0.37kw；</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电源：380V/50hz/3ph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3.尺寸:500*500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4.拆除原有损坏排风机，安装新排风机（拆除风机不回收，由施工单位负责清理）</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5.接线及调试</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5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030414002001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1KV以下交流送配电装置系统调试</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1.名称:1KV以下交流送配电装置系统调试</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2.电压等级(kV):1KV</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3.调试范围:本项目全部新装电气设备</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4.调试内容:</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（1）自动开关或断路器</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（2）隔离开关</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（3）常规保护装置</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（4）电力电缆</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（5）接地装置</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系统</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措施项目</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031302007001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高层施工增加</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031301017001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脚手架搭拆费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4"/>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19"/>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0" w:type="auto"/>
            <w:gridSpan w:val="5"/>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总价措施项目清单与计价表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金额</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费率(%)</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调整后</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0" w:type="auto"/>
            <w:gridSpan w:val="2"/>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LSSGCSF00001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color w:val="auto"/>
                <w:kern w:val="0"/>
                <w:sz w:val="20"/>
                <w:szCs w:val="20"/>
                <w:lang w:val="en-US" w:eastAsia="zh-CN" w:bidi="ar"/>
              </w:rPr>
              <w:t>4378.68</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031301010001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安装与生产同时进行增加费用</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031301011001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在有害身体健康环境中施工增加费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TSSGBWZJF001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在地下（暗）室、设备及大口径管道内等特殊施工部位进行施工增加费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按该部分人工费的30%计算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粤031302008001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赶工措施费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赶工措施费=（1-δ）*分部分项（人工费+施工机具费）*0.344 （0.8≤δ＜1   式中：δ=合同工期/定额工期）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031302002001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夜间施工增加费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按其夜间施工项目人工费的20%计算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JTGRSGZJF001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交通干扰工程施工增加费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按在市政道路上施工项目人工费的10%计算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trPr>
        <w:tc>
          <w:tcPr>
            <w:tcW w:w="0" w:type="auto"/>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粤031302009001</w:t>
            </w:r>
          </w:p>
        </w:tc>
        <w:tc>
          <w:tcPr>
            <w:tcW w:w="0" w:type="auto"/>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文明工地增加费</w:t>
            </w:r>
          </w:p>
        </w:tc>
        <w:tc>
          <w:tcPr>
            <w:tcW w:w="0" w:type="auto"/>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以分部分项的人工费与施工机具费之和为计算基础；市级文明工地1.00%；省级文明工地2.00%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编制人（造价人员）：</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复核人（造价工程师）：</w:t>
            </w:r>
          </w:p>
        </w:tc>
        <w:tc>
          <w:tcPr>
            <w:tcW w:w="0" w:type="auto"/>
            <w:gridSpan w:val="5"/>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总价措施项目清单与计价表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2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金额</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费率(%)</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调整后</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0" w:type="auto"/>
            <w:gridSpan w:val="2"/>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DXGXJCJXF001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地下管线交叉降效费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按实际发生或经批准的施工方案计算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QTFY00000001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按实际发生或经批准的施工组织设计方案计算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8"/>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8"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编制人（造价人员）：</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复核人（造价工程师）：</w:t>
            </w:r>
          </w:p>
        </w:tc>
        <w:tc>
          <w:tcPr>
            <w:tcW w:w="0" w:type="auto"/>
            <w:gridSpan w:val="5"/>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其他项目清单与计价汇总表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0" w:type="auto"/>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6"/>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0" w:type="auto"/>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结算金额（元）</w:t>
            </w:r>
          </w:p>
        </w:tc>
        <w:tc>
          <w:tcPr>
            <w:tcW w:w="0" w:type="auto"/>
            <w:gridSpan w:val="4"/>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暂列金额</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材料暂估价</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专业工程暂估价</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计日工</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总承包服务费</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预算包干费</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工程优质费</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概算幅度差</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现场签证费用</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索赔费用</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0" w:type="auto"/>
            <w:gridSpan w:val="6"/>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0" w:type="auto"/>
            <w:gridSpan w:val="4"/>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注：材料（工程设备）暂估单价进入清单项目综合单价，此处不汇总。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gridSpan w:val="5"/>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规费、税金项目清单与计价表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0" w:type="auto"/>
            <w:gridSpan w:val="6"/>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取费基数</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计算费率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0" w:type="auto"/>
            <w:gridSpan w:val="3"/>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增值税销项税额</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分部分项合计+措施合计+其他项目</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6"/>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p>
        </w:tc>
        <w:tc>
          <w:tcPr>
            <w:tcW w:w="0" w:type="auto"/>
            <w:gridSpan w:val="3"/>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nil"/>
              <w:left w:val="nil"/>
              <w:bottom w:val="nil"/>
              <w:right w:val="nil"/>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 编制人（造价人员）：</w:t>
            </w:r>
          </w:p>
        </w:tc>
        <w:tc>
          <w:tcPr>
            <w:tcW w:w="0" w:type="auto"/>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复核人（造价工程师）：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nil"/>
              <w:left w:val="nil"/>
              <w:bottom w:val="nil"/>
              <w:right w:val="nil"/>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center"/>
          </w:tcPr>
          <w:p>
            <w:pPr>
              <w:jc w:val="center"/>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表—13</w:t>
            </w:r>
          </w:p>
        </w:tc>
      </w:tr>
    </w:tbl>
    <w:p>
      <w:pPr>
        <w:pStyle w:val="29"/>
        <w:rPr>
          <w:rFonts w:hint="default" w:hAnsi="宋体" w:cs="宋体"/>
          <w:b/>
          <w:szCs w:val="21"/>
          <w:lang w:val="en-US" w:eastAsia="zh-CN"/>
        </w:rPr>
      </w:pPr>
    </w:p>
    <w:p>
      <w:pPr>
        <w:pStyle w:val="14"/>
        <w:snapToGrid w:val="0"/>
        <w:spacing w:line="600" w:lineRule="exact"/>
        <w:ind w:firstLine="3663" w:firstLineChars="1221"/>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供应商：</w:t>
      </w:r>
      <w:r>
        <w:rPr>
          <w:rFonts w:hint="eastAsia" w:ascii="仿宋_GB2312" w:hAnsi="宋体" w:eastAsia="仿宋_GB2312" w:cs="Times New Roman"/>
          <w:color w:val="auto"/>
          <w:sz w:val="30"/>
          <w:szCs w:val="30"/>
          <w:highlight w:val="none"/>
          <w:u w:val="single"/>
        </w:rPr>
        <w:t xml:space="preserve">       (盖单位章)      </w:t>
      </w:r>
    </w:p>
    <w:p>
      <w:pPr>
        <w:widowControl/>
        <w:adjustRightInd w:val="0"/>
        <w:snapToGrid w:val="0"/>
        <w:spacing w:line="600" w:lineRule="exact"/>
        <w:jc w:val="right"/>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日  期：</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年</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月</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日</w:t>
      </w:r>
    </w:p>
    <w:p>
      <w:pPr>
        <w:pStyle w:val="4"/>
        <w:numPr>
          <w:ilvl w:val="0"/>
          <w:numId w:val="0"/>
        </w:numPr>
        <w:rPr>
          <w:rFonts w:hint="eastAsia" w:eastAsiaTheme="majorEastAsia"/>
          <w:color w:val="auto"/>
          <w:highlight w:val="none"/>
          <w:lang w:val="en-US" w:eastAsia="zh-CN"/>
        </w:rPr>
      </w:pPr>
    </w:p>
    <w:p>
      <w:pPr>
        <w:pStyle w:val="4"/>
        <w:numPr>
          <w:ilvl w:val="0"/>
          <w:numId w:val="0"/>
        </w:numPr>
        <w:rPr>
          <w:rFonts w:hint="eastAsia" w:eastAsiaTheme="majorEastAsia"/>
          <w:color w:val="auto"/>
          <w:highlight w:val="none"/>
          <w:lang w:val="en-US" w:eastAsia="zh-CN"/>
        </w:rPr>
      </w:pPr>
    </w:p>
    <w:p>
      <w:pPr>
        <w:pStyle w:val="4"/>
        <w:numPr>
          <w:ilvl w:val="0"/>
          <w:numId w:val="0"/>
        </w:numPr>
        <w:rPr>
          <w:rFonts w:hint="eastAsia" w:eastAsiaTheme="majorEastAsia"/>
          <w:color w:val="auto"/>
          <w:highlight w:val="none"/>
          <w:lang w:val="en-US" w:eastAsia="zh-CN"/>
        </w:rPr>
      </w:pPr>
    </w:p>
    <w:p>
      <w:pPr>
        <w:pStyle w:val="4"/>
        <w:numPr>
          <w:ilvl w:val="0"/>
          <w:numId w:val="0"/>
        </w:numPr>
        <w:rPr>
          <w:rFonts w:asciiTheme="majorEastAsia" w:hAnsiTheme="majorEastAsia" w:eastAsiaTheme="majorEastAsia"/>
          <w:color w:val="auto"/>
          <w:sz w:val="28"/>
          <w:szCs w:val="28"/>
          <w:highlight w:val="none"/>
        </w:rPr>
      </w:pPr>
      <w:r>
        <w:rPr>
          <w:rFonts w:hint="eastAsia" w:eastAsiaTheme="majorEastAsia"/>
          <w:color w:val="auto"/>
          <w:highlight w:val="none"/>
          <w:lang w:val="en-US" w:eastAsia="zh-CN"/>
        </w:rPr>
        <w:t>6</w:t>
      </w:r>
      <w:r>
        <w:rPr>
          <w:rFonts w:hint="eastAsia" w:asciiTheme="majorEastAsia" w:hAnsiTheme="majorEastAsia" w:eastAsiaTheme="majorEastAsia"/>
          <w:color w:val="auto"/>
          <w:sz w:val="28"/>
          <w:szCs w:val="28"/>
          <w:highlight w:val="none"/>
        </w:rPr>
        <w:t>.其他资料</w:t>
      </w:r>
      <w:bookmarkEnd w:id="131"/>
      <w:bookmarkEnd w:id="132"/>
      <w:bookmarkEnd w:id="133"/>
      <w:bookmarkEnd w:id="134"/>
    </w:p>
    <w:p>
      <w:pPr>
        <w:adjustRightInd w:val="0"/>
        <w:snapToGrid w:val="0"/>
        <w:spacing w:line="600" w:lineRule="exact"/>
        <w:ind w:firstLine="570"/>
        <w:rPr>
          <w:rFonts w:ascii="仿宋_GB2312" w:eastAsia="仿宋_GB2312" w:hAnsiTheme="minorEastAsia"/>
          <w:color w:val="auto"/>
          <w:sz w:val="28"/>
          <w:szCs w:val="28"/>
          <w:highlight w:val="none"/>
        </w:rPr>
      </w:pPr>
      <w:r>
        <w:rPr>
          <w:rFonts w:ascii="仿宋_GB2312" w:eastAsia="仿宋_GB2312" w:hAnsiTheme="minorEastAsia"/>
          <w:color w:val="auto"/>
          <w:sz w:val="28"/>
          <w:szCs w:val="28"/>
          <w:highlight w:val="none"/>
        </w:rPr>
        <w:t>供应商须提交的其他资料</w:t>
      </w:r>
      <w:r>
        <w:rPr>
          <w:rFonts w:hint="eastAsia" w:ascii="仿宋_GB2312" w:eastAsia="仿宋_GB2312" w:hAnsiTheme="minorEastAsia"/>
          <w:color w:val="auto"/>
          <w:sz w:val="28"/>
          <w:szCs w:val="28"/>
          <w:highlight w:val="none"/>
        </w:rPr>
        <w:t>。</w:t>
      </w:r>
    </w:p>
    <w:p>
      <w:pPr>
        <w:rPr>
          <w:color w:val="auto"/>
          <w:highlight w:val="none"/>
        </w:rPr>
      </w:pPr>
    </w:p>
    <w:sectPr>
      <w:pgSz w:w="11906" w:h="16838"/>
      <w:pgMar w:top="2098" w:right="1474" w:bottom="1985" w:left="1588" w:header="851" w:footer="992" w:gutter="0"/>
      <w:pgNumType w:fmt="decimal"/>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E4EC76E4-9651-4F04-BADD-6721BF178B7A}"/>
  </w:font>
  <w:font w:name="Arial">
    <w:panose1 w:val="020B0604020202020204"/>
    <w:charset w:val="01"/>
    <w:family w:val="swiss"/>
    <w:pitch w:val="default"/>
    <w:sig w:usb0="E0002EFF" w:usb1="C000785B" w:usb2="00000009" w:usb3="00000000" w:csb0="400001FF" w:csb1="FFFF0000"/>
    <w:embedRegular r:id="rId2" w:fontKey="{F3293458-6F4E-45AE-88E5-5D879F5C84B1}"/>
  </w:font>
  <w:font w:name="黑体">
    <w:panose1 w:val="02010609060101010101"/>
    <w:charset w:val="86"/>
    <w:family w:val="auto"/>
    <w:pitch w:val="default"/>
    <w:sig w:usb0="800002BF" w:usb1="38CF7CFA" w:usb2="00000016" w:usb3="00000000" w:csb0="00040001" w:csb1="00000000"/>
    <w:embedRegular r:id="rId3" w:fontKey="{20BB3CF3-D777-4073-A422-2F6BF672EBDD}"/>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4" w:fontKey="{03495E6C-0020-45BE-B607-38A1A4F728AA}"/>
  </w:font>
  <w:font w:name="方正小标宋简体">
    <w:panose1 w:val="03000509000000000000"/>
    <w:charset w:val="86"/>
    <w:family w:val="script"/>
    <w:pitch w:val="default"/>
    <w:sig w:usb0="00000001" w:usb1="080E0000" w:usb2="00000000" w:usb3="00000000" w:csb0="00040000" w:csb1="00000000"/>
    <w:embedRegular r:id="rId5" w:fontKey="{9B98139E-E3D1-4FFB-B992-B299067DDA7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embedRegular r:id="rId6" w:fontKey="{5D34CD83-974E-4C8C-B518-9094462AB57C}"/>
  </w:font>
  <w:font w:name="等线">
    <w:panose1 w:val="02010600030101010101"/>
    <w:charset w:val="86"/>
    <w:family w:val="auto"/>
    <w:pitch w:val="default"/>
    <w:sig w:usb0="A00002BF" w:usb1="38CF7CFA" w:usb2="00000016" w:usb3="00000000" w:csb0="0004000F" w:csb1="00000000"/>
    <w:embedRegular r:id="rId7" w:fontKey="{F56F30A4-D634-4630-9280-1D84E7E4E49F}"/>
  </w:font>
  <w:font w:name="仿宋_GB2312">
    <w:panose1 w:val="02010609030101010101"/>
    <w:charset w:val="86"/>
    <w:family w:val="modern"/>
    <w:pitch w:val="default"/>
    <w:sig w:usb0="00000001" w:usb1="080E0000" w:usb2="00000000" w:usb3="00000000" w:csb0="00040000" w:csb1="00000000"/>
    <w:embedRegular r:id="rId8" w:fontKey="{324F4906-F072-4F2D-A17C-006D8167E9C0}"/>
  </w:font>
  <w:font w:name="仿宋">
    <w:panose1 w:val="02010609060101010101"/>
    <w:charset w:val="86"/>
    <w:family w:val="auto"/>
    <w:pitch w:val="default"/>
    <w:sig w:usb0="800002BF" w:usb1="38CF7CFA" w:usb2="00000016" w:usb3="00000000" w:csb0="00040001" w:csb1="00000000"/>
    <w:embedRegular r:id="rId9" w:fontKey="{4A9A305C-42F2-4055-98EA-BB36A13CC242}"/>
  </w:font>
  <w:font w:name="Wingdings 2">
    <w:panose1 w:val="05020102010507070707"/>
    <w:charset w:val="00"/>
    <w:family w:val="auto"/>
    <w:pitch w:val="default"/>
    <w:sig w:usb0="00000000" w:usb1="00000000" w:usb2="00000000" w:usb3="00000000" w:csb0="80000000" w:csb1="00000000"/>
    <w:embedRegular r:id="rId10" w:fontKey="{21E7D0CC-070C-4D53-8660-1DB7C399E73D}"/>
  </w:font>
  <w:font w:name="Swis721 BT">
    <w:altName w:val="Yu Gothic UI"/>
    <w:panose1 w:val="020B0504020202020204"/>
    <w:charset w:val="00"/>
    <w:family w:val="auto"/>
    <w:pitch w:val="default"/>
    <w:sig w:usb0="00000000" w:usb1="00000000" w:usb2="00000000" w:usb3="00000000" w:csb0="00000000" w:csb1="00000000"/>
  </w:font>
  <w:font w:name="Yu Gothic UI">
    <w:panose1 w:val="020B0500000000000000"/>
    <w:charset w:val="80"/>
    <w:family w:val="auto"/>
    <w:pitch w:val="default"/>
    <w:sig w:usb0="E00002FF" w:usb1="2AC7FDFF" w:usb2="00000016" w:usb3="00000000" w:csb0="2002009F" w:csb1="00000000"/>
  </w:font>
  <w:font w:name="Batang">
    <w:panose1 w:val="02030600000101010101"/>
    <w:charset w:val="81"/>
    <w:family w:val="auto"/>
    <w:pitch w:val="default"/>
    <w:sig w:usb0="B00002AF" w:usb1="69D77CFB" w:usb2="00000030" w:usb3="00000000" w:csb0="4008009F" w:csb1="DFD70000"/>
    <w:embedRegular r:id="rId11" w:fontKey="{2F30ECBD-ED5F-4376-9916-C212C34D515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pPr>
                        </w:p>
                        <w:p/>
                      </w:txbxContent>
                    </wps:txbx>
                    <wps:bodyPr wrap="none" lIns="0" tIns="0" rIns="0" bIns="0" upright="0">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MQ6dcoBAACaAwAADgAAAAAAAAABACAAAAAeAQAAZHJzL2Uyb0Rv&#10;Yy54bWxQSwUGAAAAAAYABgBZAQAAWgUAAAAA&#10;">
              <v:fill on="f" focussize="0,0"/>
              <v:stroke on="f"/>
              <v:imagedata o:title=""/>
              <o:lock v:ext="edit" aspectratio="f"/>
              <v:textbox inset="0mm,0mm,0mm,0mm" style="mso-fit-shape-to-text:t;">
                <w:txbxContent>
                  <w:p>
                    <w:pPr>
                      <w:pStyle w:val="18"/>
                    </w:pPr>
                  </w:p>
                  <w:p/>
                </w:txbxContent>
              </v:textbox>
            </v:shape>
          </w:pict>
        </mc:Fallback>
      </mc:AlternateContent>
    </w:r>
  </w:p>
  <w:p>
    <w:pPr>
      <w:pStyle w:val="1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wrap="none" lIns="0" tIns="0" rIns="0" bIns="0" upright="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Z5VgYMoBAACaAwAADgAAAAAAAAABACAAAAAeAQAAZHJzL2Uyb0Rv&#10;Yy54bWxQSwUGAAAAAAYABgBZAQAAWgUAAAAA&#10;">
              <v:fill on="f" focussize="0,0"/>
              <v:stroke on="f"/>
              <v:imagedata o:title=""/>
              <o:lock v:ext="edit" aspectratio="f"/>
              <v:textbox inset="0mm,0mm,0mm,0mm" style="mso-fit-shape-to-text:t;">
                <w:txbxContent>
                  <w:p>
                    <w:pPr>
                      <w:pStyle w:val="18"/>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57"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pPr>
                        </w:p>
                        <w:p/>
                      </w:txbxContent>
                    </wps:txbx>
                    <wps:bodyPr wrap="none" lIns="0" tIns="0" rIns="0" bIns="0" upright="0">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kW08DMoBAACaAwAADgAAAAAAAAABACAAAAAeAQAAZHJzL2Uyb0Rv&#10;Yy54bWxQSwUGAAAAAAYABgBZAQAAWgUAAAAA&#10;">
              <v:fill on="f" focussize="0,0"/>
              <v:stroke on="f"/>
              <v:imagedata o:title=""/>
              <o:lock v:ext="edit" aspectratio="f"/>
              <v:textbox inset="0mm,0mm,0mm,0mm" style="mso-fit-shape-to-text:t;">
                <w:txbxContent>
                  <w:p>
                    <w:pPr>
                      <w:pStyle w:val="18"/>
                    </w:pPr>
                  </w:p>
                  <w:p/>
                </w:txbxContent>
              </v:textbox>
            </v:shape>
          </w:pict>
        </mc:Fallback>
      </mc:AlternateContent>
    </w:r>
  </w:p>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58"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wrap="none" lIns="0" tIns="0" rIns="0" bIns="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Kzs4AyQEAAJoDAAAOAAAAAAAAAAEAIAAAAB4BAABkcnMvZTJvRG9j&#10;LnhtbFBLBQYAAAAABgAGAFkBAABZBQAAAAA=&#10;">
              <v:fill on="f" focussize="0,0"/>
              <v:stroke on="f"/>
              <v:imagedata o:title=""/>
              <o:lock v:ext="edit" aspectratio="f"/>
              <v:textbox inset="0mm,0mm,0mm,0mm" style="mso-fit-shape-to-text:t;">
                <w:txbxContent>
                  <w:p>
                    <w:pPr>
                      <w:pStyle w:val="18"/>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6A6D85"/>
    <w:multiLevelType w:val="singleLevel"/>
    <w:tmpl w:val="926A6D85"/>
    <w:lvl w:ilvl="0" w:tentative="0">
      <w:start w:val="1"/>
      <w:numFmt w:val="chineseCounting"/>
      <w:suff w:val="nothing"/>
      <w:lvlText w:val="%1、"/>
      <w:lvlJc w:val="left"/>
      <w:rPr>
        <w:rFonts w:hint="eastAsia"/>
      </w:rPr>
    </w:lvl>
  </w:abstractNum>
  <w:abstractNum w:abstractNumId="1">
    <w:nsid w:val="9F2F2D26"/>
    <w:multiLevelType w:val="singleLevel"/>
    <w:tmpl w:val="9F2F2D26"/>
    <w:lvl w:ilvl="0" w:tentative="0">
      <w:start w:val="1"/>
      <w:numFmt w:val="decimal"/>
      <w:suff w:val="nothing"/>
      <w:lvlText w:val="（%1）"/>
      <w:lvlJc w:val="left"/>
    </w:lvl>
  </w:abstractNum>
  <w:abstractNum w:abstractNumId="2">
    <w:nsid w:val="B302B05F"/>
    <w:multiLevelType w:val="singleLevel"/>
    <w:tmpl w:val="B302B05F"/>
    <w:lvl w:ilvl="0" w:tentative="0">
      <w:start w:val="1"/>
      <w:numFmt w:val="decimal"/>
      <w:suff w:val="nothing"/>
      <w:lvlText w:val="（%1）"/>
      <w:lvlJc w:val="left"/>
    </w:lvl>
  </w:abstractNum>
  <w:abstractNum w:abstractNumId="3">
    <w:nsid w:val="C06D8527"/>
    <w:multiLevelType w:val="singleLevel"/>
    <w:tmpl w:val="C06D8527"/>
    <w:lvl w:ilvl="0" w:tentative="0">
      <w:start w:val="1"/>
      <w:numFmt w:val="decimal"/>
      <w:suff w:val="nothing"/>
      <w:lvlText w:val="%1、"/>
      <w:lvlJc w:val="left"/>
      <w:rPr>
        <w:rFonts w:hint="default" w:ascii="仿宋" w:hAnsi="仿宋" w:eastAsia="仿宋" w:cs="仿宋"/>
        <w:sz w:val="24"/>
        <w:szCs w:val="24"/>
      </w:rPr>
    </w:lvl>
  </w:abstractNum>
  <w:abstractNum w:abstractNumId="4">
    <w:nsid w:val="CC8F9289"/>
    <w:multiLevelType w:val="singleLevel"/>
    <w:tmpl w:val="CC8F9289"/>
    <w:lvl w:ilvl="0" w:tentative="0">
      <w:start w:val="1"/>
      <w:numFmt w:val="decimal"/>
      <w:suff w:val="nothing"/>
      <w:lvlText w:val="（%1）"/>
      <w:lvlJc w:val="left"/>
    </w:lvl>
  </w:abstractNum>
  <w:abstractNum w:abstractNumId="5">
    <w:nsid w:val="CC9CF724"/>
    <w:multiLevelType w:val="singleLevel"/>
    <w:tmpl w:val="CC9CF724"/>
    <w:lvl w:ilvl="0" w:tentative="0">
      <w:start w:val="1"/>
      <w:numFmt w:val="chineseCounting"/>
      <w:suff w:val="space"/>
      <w:lvlText w:val="第%1章"/>
      <w:lvlJc w:val="left"/>
      <w:rPr>
        <w:rFonts w:hint="eastAsia"/>
      </w:rPr>
    </w:lvl>
  </w:abstractNum>
  <w:abstractNum w:abstractNumId="6">
    <w:nsid w:val="D8E681EB"/>
    <w:multiLevelType w:val="singleLevel"/>
    <w:tmpl w:val="D8E681EB"/>
    <w:lvl w:ilvl="0" w:tentative="0">
      <w:start w:val="1"/>
      <w:numFmt w:val="chineseCounting"/>
      <w:suff w:val="nothing"/>
      <w:lvlText w:val="%1、"/>
      <w:lvlJc w:val="left"/>
      <w:rPr>
        <w:rFonts w:hint="eastAsia"/>
      </w:rPr>
    </w:lvl>
  </w:abstractNum>
  <w:abstractNum w:abstractNumId="7">
    <w:nsid w:val="F225F698"/>
    <w:multiLevelType w:val="singleLevel"/>
    <w:tmpl w:val="F225F698"/>
    <w:lvl w:ilvl="0" w:tentative="0">
      <w:start w:val="1"/>
      <w:numFmt w:val="decimal"/>
      <w:suff w:val="nothing"/>
      <w:lvlText w:val="%1、"/>
      <w:lvlJc w:val="left"/>
    </w:lvl>
  </w:abstractNum>
  <w:abstractNum w:abstractNumId="8">
    <w:nsid w:val="F474C9A6"/>
    <w:multiLevelType w:val="singleLevel"/>
    <w:tmpl w:val="F474C9A6"/>
    <w:lvl w:ilvl="0" w:tentative="0">
      <w:start w:val="10"/>
      <w:numFmt w:val="chineseCounting"/>
      <w:suff w:val="space"/>
      <w:lvlText w:val="第%1条"/>
      <w:lvlJc w:val="left"/>
      <w:rPr>
        <w:rFonts w:hint="eastAsia"/>
      </w:rPr>
    </w:lvl>
  </w:abstractNum>
  <w:abstractNum w:abstractNumId="9">
    <w:nsid w:val="00B9FB25"/>
    <w:multiLevelType w:val="singleLevel"/>
    <w:tmpl w:val="00B9FB25"/>
    <w:lvl w:ilvl="0" w:tentative="0">
      <w:start w:val="1"/>
      <w:numFmt w:val="decimal"/>
      <w:suff w:val="nothing"/>
      <w:lvlText w:val="%1、"/>
      <w:lvlJc w:val="left"/>
    </w:lvl>
  </w:abstractNum>
  <w:abstractNum w:abstractNumId="10">
    <w:nsid w:val="2F59CA0F"/>
    <w:multiLevelType w:val="singleLevel"/>
    <w:tmpl w:val="2F59CA0F"/>
    <w:lvl w:ilvl="0" w:tentative="0">
      <w:start w:val="1"/>
      <w:numFmt w:val="decimal"/>
      <w:suff w:val="nothing"/>
      <w:lvlText w:val="%1、"/>
      <w:lvlJc w:val="left"/>
    </w:lvl>
  </w:abstractNum>
  <w:abstractNum w:abstractNumId="11">
    <w:nsid w:val="3944F0C3"/>
    <w:multiLevelType w:val="singleLevel"/>
    <w:tmpl w:val="3944F0C3"/>
    <w:lvl w:ilvl="0" w:tentative="0">
      <w:start w:val="1"/>
      <w:numFmt w:val="decimal"/>
      <w:suff w:val="nothing"/>
      <w:lvlText w:val="%1、"/>
      <w:lvlJc w:val="left"/>
      <w:rPr>
        <w:rFonts w:hint="default" w:ascii="Swis721 BT" w:hAnsi="Swis721 BT" w:cs="Swis721 BT"/>
        <w:sz w:val="24"/>
        <w:szCs w:val="24"/>
      </w:rPr>
    </w:lvl>
  </w:abstractNum>
  <w:abstractNum w:abstractNumId="12">
    <w:nsid w:val="4734DCE6"/>
    <w:multiLevelType w:val="singleLevel"/>
    <w:tmpl w:val="4734DCE6"/>
    <w:lvl w:ilvl="0" w:tentative="0">
      <w:start w:val="1"/>
      <w:numFmt w:val="decimal"/>
      <w:lvlText w:val="%1."/>
      <w:lvlJc w:val="left"/>
      <w:pPr>
        <w:tabs>
          <w:tab w:val="left" w:pos="312"/>
        </w:tabs>
      </w:pPr>
    </w:lvl>
  </w:abstractNum>
  <w:abstractNum w:abstractNumId="13">
    <w:nsid w:val="6313FE0C"/>
    <w:multiLevelType w:val="singleLevel"/>
    <w:tmpl w:val="6313FE0C"/>
    <w:lvl w:ilvl="0" w:tentative="0">
      <w:start w:val="1"/>
      <w:numFmt w:val="decimal"/>
      <w:suff w:val="nothing"/>
      <w:lvlText w:val="（%1）"/>
      <w:lvlJc w:val="left"/>
    </w:lvl>
  </w:abstractNum>
  <w:abstractNum w:abstractNumId="14">
    <w:nsid w:val="64798D56"/>
    <w:multiLevelType w:val="singleLevel"/>
    <w:tmpl w:val="64798D56"/>
    <w:lvl w:ilvl="0" w:tentative="0">
      <w:start w:val="1"/>
      <w:numFmt w:val="decimal"/>
      <w:suff w:val="nothing"/>
      <w:lvlText w:val="%1、"/>
      <w:lvlJc w:val="left"/>
      <w:pPr>
        <w:ind w:left="100" w:leftChars="0" w:firstLine="0" w:firstLineChars="0"/>
      </w:pPr>
    </w:lvl>
  </w:abstractNum>
  <w:abstractNum w:abstractNumId="15">
    <w:nsid w:val="705D32C3"/>
    <w:multiLevelType w:val="singleLevel"/>
    <w:tmpl w:val="705D32C3"/>
    <w:lvl w:ilvl="0" w:tentative="0">
      <w:start w:val="5"/>
      <w:numFmt w:val="decimal"/>
      <w:lvlText w:val="%1."/>
      <w:lvlJc w:val="left"/>
      <w:pPr>
        <w:tabs>
          <w:tab w:val="left" w:pos="312"/>
        </w:tabs>
      </w:pPr>
    </w:lvl>
  </w:abstractNum>
  <w:abstractNum w:abstractNumId="16">
    <w:nsid w:val="739A4941"/>
    <w:multiLevelType w:val="singleLevel"/>
    <w:tmpl w:val="739A4941"/>
    <w:lvl w:ilvl="0" w:tentative="0">
      <w:start w:val="1"/>
      <w:numFmt w:val="chineseCounting"/>
      <w:suff w:val="nothing"/>
      <w:lvlText w:val="%1、"/>
      <w:lvlJc w:val="left"/>
      <w:pPr>
        <w:ind w:left="0" w:firstLine="420"/>
      </w:pPr>
      <w:rPr>
        <w:rFonts w:hint="eastAsia"/>
      </w:rPr>
    </w:lvl>
  </w:abstractNum>
  <w:num w:numId="1">
    <w:abstractNumId w:val="5"/>
  </w:num>
  <w:num w:numId="2">
    <w:abstractNumId w:val="14"/>
  </w:num>
  <w:num w:numId="3">
    <w:abstractNumId w:val="15"/>
  </w:num>
  <w:num w:numId="4">
    <w:abstractNumId w:val="12"/>
  </w:num>
  <w:num w:numId="5">
    <w:abstractNumId w:val="10"/>
  </w:num>
  <w:num w:numId="6">
    <w:abstractNumId w:val="16"/>
  </w:num>
  <w:num w:numId="7">
    <w:abstractNumId w:val="1"/>
  </w:num>
  <w:num w:numId="8">
    <w:abstractNumId w:val="13"/>
  </w:num>
  <w:num w:numId="9">
    <w:abstractNumId w:val="6"/>
  </w:num>
  <w:num w:numId="10">
    <w:abstractNumId w:val="4"/>
  </w:num>
  <w:num w:numId="11">
    <w:abstractNumId w:val="0"/>
  </w:num>
  <w:num w:numId="12">
    <w:abstractNumId w:val="3"/>
  </w:num>
  <w:num w:numId="13">
    <w:abstractNumId w:val="11"/>
  </w:num>
  <w:num w:numId="14">
    <w:abstractNumId w:val="7"/>
  </w:num>
  <w:num w:numId="15">
    <w:abstractNumId w:val="9"/>
  </w:num>
  <w:num w:numId="16">
    <w:abstractNumId w:val="2"/>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TrueTypeFonts/>
  <w:saveSubsetFonts/>
  <w:bordersDoNotSurroundHeader w:val="0"/>
  <w:bordersDoNotSurroundFooter w:val="0"/>
  <w:revisionView w:markup="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BjOTRjOWMzMTM2YTA0OWJlZDMxYmQ1YzExZDY3ZmYifQ=="/>
  </w:docVars>
  <w:rsids>
    <w:rsidRoot w:val="005D618A"/>
    <w:rsid w:val="003D60BA"/>
    <w:rsid w:val="00411689"/>
    <w:rsid w:val="005D618A"/>
    <w:rsid w:val="00781E2B"/>
    <w:rsid w:val="00911ECD"/>
    <w:rsid w:val="00A042E0"/>
    <w:rsid w:val="00A41FE3"/>
    <w:rsid w:val="00B26BB1"/>
    <w:rsid w:val="00B26E21"/>
    <w:rsid w:val="00F83B64"/>
    <w:rsid w:val="011A30DE"/>
    <w:rsid w:val="013E3461"/>
    <w:rsid w:val="01822573"/>
    <w:rsid w:val="01B10E8E"/>
    <w:rsid w:val="02090C75"/>
    <w:rsid w:val="02A23A3C"/>
    <w:rsid w:val="02B85EC5"/>
    <w:rsid w:val="02E5725D"/>
    <w:rsid w:val="03266483"/>
    <w:rsid w:val="035D130A"/>
    <w:rsid w:val="039101E8"/>
    <w:rsid w:val="039110A9"/>
    <w:rsid w:val="03AC246A"/>
    <w:rsid w:val="03B10EED"/>
    <w:rsid w:val="03B23056"/>
    <w:rsid w:val="03DC3EBA"/>
    <w:rsid w:val="03F9794D"/>
    <w:rsid w:val="046A2461"/>
    <w:rsid w:val="0517294F"/>
    <w:rsid w:val="051C2970"/>
    <w:rsid w:val="0571567D"/>
    <w:rsid w:val="059B5791"/>
    <w:rsid w:val="05DB5311"/>
    <w:rsid w:val="05E8504E"/>
    <w:rsid w:val="060C3611"/>
    <w:rsid w:val="06C64829"/>
    <w:rsid w:val="06CA2374"/>
    <w:rsid w:val="06E93894"/>
    <w:rsid w:val="070E7B6E"/>
    <w:rsid w:val="077D16D2"/>
    <w:rsid w:val="078F31C8"/>
    <w:rsid w:val="082A69F3"/>
    <w:rsid w:val="08675FC8"/>
    <w:rsid w:val="09A84B40"/>
    <w:rsid w:val="09B713FD"/>
    <w:rsid w:val="09D36BFF"/>
    <w:rsid w:val="09EF6ACC"/>
    <w:rsid w:val="0A315056"/>
    <w:rsid w:val="0A6A454F"/>
    <w:rsid w:val="0A95009B"/>
    <w:rsid w:val="0AA213B4"/>
    <w:rsid w:val="0AF61C7E"/>
    <w:rsid w:val="0AFB45AD"/>
    <w:rsid w:val="0B351E9B"/>
    <w:rsid w:val="0B4C50D3"/>
    <w:rsid w:val="0B806B92"/>
    <w:rsid w:val="0B827E94"/>
    <w:rsid w:val="0B842F76"/>
    <w:rsid w:val="0BD070E1"/>
    <w:rsid w:val="0C247926"/>
    <w:rsid w:val="0D3C5F7A"/>
    <w:rsid w:val="0D794204"/>
    <w:rsid w:val="0E2125D1"/>
    <w:rsid w:val="0E214211"/>
    <w:rsid w:val="0E5F2769"/>
    <w:rsid w:val="0F3E0E8D"/>
    <w:rsid w:val="0F4D75A3"/>
    <w:rsid w:val="0F5B2DCA"/>
    <w:rsid w:val="0FED051E"/>
    <w:rsid w:val="0FEE4C29"/>
    <w:rsid w:val="0FF811FA"/>
    <w:rsid w:val="10031608"/>
    <w:rsid w:val="10046082"/>
    <w:rsid w:val="104974DD"/>
    <w:rsid w:val="111703D2"/>
    <w:rsid w:val="112B101A"/>
    <w:rsid w:val="116474A7"/>
    <w:rsid w:val="119B53FC"/>
    <w:rsid w:val="11F612D3"/>
    <w:rsid w:val="1215733B"/>
    <w:rsid w:val="12424CDC"/>
    <w:rsid w:val="129A2738"/>
    <w:rsid w:val="12B56BF1"/>
    <w:rsid w:val="12C50511"/>
    <w:rsid w:val="12CB1A89"/>
    <w:rsid w:val="12E52961"/>
    <w:rsid w:val="131840FB"/>
    <w:rsid w:val="13467417"/>
    <w:rsid w:val="1347382D"/>
    <w:rsid w:val="136E76CF"/>
    <w:rsid w:val="145F08C6"/>
    <w:rsid w:val="14943AA4"/>
    <w:rsid w:val="15776308"/>
    <w:rsid w:val="15AA6009"/>
    <w:rsid w:val="15BC6B3C"/>
    <w:rsid w:val="16360A7B"/>
    <w:rsid w:val="164D40B0"/>
    <w:rsid w:val="16810F7B"/>
    <w:rsid w:val="1694429A"/>
    <w:rsid w:val="1739327C"/>
    <w:rsid w:val="175E59B4"/>
    <w:rsid w:val="17635326"/>
    <w:rsid w:val="17B803EA"/>
    <w:rsid w:val="1815096B"/>
    <w:rsid w:val="18236EFD"/>
    <w:rsid w:val="18502F73"/>
    <w:rsid w:val="189D5B1F"/>
    <w:rsid w:val="18A34CD0"/>
    <w:rsid w:val="19A53EA8"/>
    <w:rsid w:val="19B64DBC"/>
    <w:rsid w:val="19C2650F"/>
    <w:rsid w:val="19EC6A4A"/>
    <w:rsid w:val="1A1E5348"/>
    <w:rsid w:val="1A373ACF"/>
    <w:rsid w:val="1A6607D7"/>
    <w:rsid w:val="1A895341"/>
    <w:rsid w:val="1B0D071F"/>
    <w:rsid w:val="1B4568CE"/>
    <w:rsid w:val="1B680619"/>
    <w:rsid w:val="1B9015B7"/>
    <w:rsid w:val="1B950DA6"/>
    <w:rsid w:val="1BF54245"/>
    <w:rsid w:val="1C1A1360"/>
    <w:rsid w:val="1C4E2958"/>
    <w:rsid w:val="1CA42FF7"/>
    <w:rsid w:val="1D0E6976"/>
    <w:rsid w:val="1D5A79EE"/>
    <w:rsid w:val="1E0E2CD0"/>
    <w:rsid w:val="1E132458"/>
    <w:rsid w:val="1E3A5EB2"/>
    <w:rsid w:val="1E6E0EED"/>
    <w:rsid w:val="1E831280"/>
    <w:rsid w:val="1EB83620"/>
    <w:rsid w:val="1EBC4704"/>
    <w:rsid w:val="1F172EB5"/>
    <w:rsid w:val="1F94592D"/>
    <w:rsid w:val="1FB860DE"/>
    <w:rsid w:val="1FBD2F3A"/>
    <w:rsid w:val="20007344"/>
    <w:rsid w:val="203C5A02"/>
    <w:rsid w:val="209D4C94"/>
    <w:rsid w:val="20E84705"/>
    <w:rsid w:val="2149376A"/>
    <w:rsid w:val="218400BA"/>
    <w:rsid w:val="21880F1C"/>
    <w:rsid w:val="219A6382"/>
    <w:rsid w:val="21A8797C"/>
    <w:rsid w:val="21AB1E2F"/>
    <w:rsid w:val="21C9103C"/>
    <w:rsid w:val="21D40498"/>
    <w:rsid w:val="22767047"/>
    <w:rsid w:val="228F6289"/>
    <w:rsid w:val="229323DA"/>
    <w:rsid w:val="22F64717"/>
    <w:rsid w:val="23A05588"/>
    <w:rsid w:val="240476A1"/>
    <w:rsid w:val="24E279BE"/>
    <w:rsid w:val="25431AEB"/>
    <w:rsid w:val="25BE3BFB"/>
    <w:rsid w:val="25BF43FD"/>
    <w:rsid w:val="25F86BCD"/>
    <w:rsid w:val="2605748B"/>
    <w:rsid w:val="264544A6"/>
    <w:rsid w:val="26505AD0"/>
    <w:rsid w:val="269E416A"/>
    <w:rsid w:val="26C11C6B"/>
    <w:rsid w:val="272100D3"/>
    <w:rsid w:val="272C72FC"/>
    <w:rsid w:val="275131CB"/>
    <w:rsid w:val="27EB149D"/>
    <w:rsid w:val="27F93F1F"/>
    <w:rsid w:val="27FD3E52"/>
    <w:rsid w:val="28A6098D"/>
    <w:rsid w:val="28E11370"/>
    <w:rsid w:val="294A756A"/>
    <w:rsid w:val="29653DEE"/>
    <w:rsid w:val="29781BF8"/>
    <w:rsid w:val="29C33ED0"/>
    <w:rsid w:val="29D5322D"/>
    <w:rsid w:val="2A025DD9"/>
    <w:rsid w:val="2A2619CB"/>
    <w:rsid w:val="2A7C2231"/>
    <w:rsid w:val="2ABB753D"/>
    <w:rsid w:val="2AE1155E"/>
    <w:rsid w:val="2AFE6EC4"/>
    <w:rsid w:val="2B7A49FA"/>
    <w:rsid w:val="2C22422B"/>
    <w:rsid w:val="2C615D26"/>
    <w:rsid w:val="2C862573"/>
    <w:rsid w:val="2CB679ED"/>
    <w:rsid w:val="2CE657FC"/>
    <w:rsid w:val="2CF06EA7"/>
    <w:rsid w:val="2D173C07"/>
    <w:rsid w:val="2D424A86"/>
    <w:rsid w:val="2DDA66B7"/>
    <w:rsid w:val="2E7B52DB"/>
    <w:rsid w:val="2ED60115"/>
    <w:rsid w:val="2F1A7BB5"/>
    <w:rsid w:val="2F324CFE"/>
    <w:rsid w:val="2FBA09F1"/>
    <w:rsid w:val="2FEF2ACF"/>
    <w:rsid w:val="3005212B"/>
    <w:rsid w:val="30507C57"/>
    <w:rsid w:val="30540211"/>
    <w:rsid w:val="30A734F4"/>
    <w:rsid w:val="30AF18A8"/>
    <w:rsid w:val="31112A0D"/>
    <w:rsid w:val="311F4B20"/>
    <w:rsid w:val="312B1A2F"/>
    <w:rsid w:val="312D7741"/>
    <w:rsid w:val="316F137F"/>
    <w:rsid w:val="31921B83"/>
    <w:rsid w:val="31DF525F"/>
    <w:rsid w:val="31EC162B"/>
    <w:rsid w:val="32324C2E"/>
    <w:rsid w:val="327171DF"/>
    <w:rsid w:val="332619FE"/>
    <w:rsid w:val="335214F5"/>
    <w:rsid w:val="33707BCD"/>
    <w:rsid w:val="341E3434"/>
    <w:rsid w:val="34750480"/>
    <w:rsid w:val="34BB4442"/>
    <w:rsid w:val="35406FCC"/>
    <w:rsid w:val="35F165B8"/>
    <w:rsid w:val="36014EA7"/>
    <w:rsid w:val="360B7EBA"/>
    <w:rsid w:val="36416867"/>
    <w:rsid w:val="369C32FD"/>
    <w:rsid w:val="36E45A71"/>
    <w:rsid w:val="37666E72"/>
    <w:rsid w:val="38081EA3"/>
    <w:rsid w:val="38167A04"/>
    <w:rsid w:val="381C3783"/>
    <w:rsid w:val="38A50319"/>
    <w:rsid w:val="394B167A"/>
    <w:rsid w:val="39533508"/>
    <w:rsid w:val="39DA2868"/>
    <w:rsid w:val="3A055F4B"/>
    <w:rsid w:val="3A4E4336"/>
    <w:rsid w:val="3A6007FE"/>
    <w:rsid w:val="3AA06FEA"/>
    <w:rsid w:val="3AF93D6C"/>
    <w:rsid w:val="3B700E50"/>
    <w:rsid w:val="3B7C2CE4"/>
    <w:rsid w:val="3BAF716B"/>
    <w:rsid w:val="3C0B5355"/>
    <w:rsid w:val="3C6568F8"/>
    <w:rsid w:val="3C8C1F1C"/>
    <w:rsid w:val="3CD4176B"/>
    <w:rsid w:val="3D1363A7"/>
    <w:rsid w:val="3D1F44D9"/>
    <w:rsid w:val="3D434194"/>
    <w:rsid w:val="3D4E68CF"/>
    <w:rsid w:val="3D5C38CD"/>
    <w:rsid w:val="3E4F473A"/>
    <w:rsid w:val="3E5070F1"/>
    <w:rsid w:val="3EC370CB"/>
    <w:rsid w:val="3F6C3589"/>
    <w:rsid w:val="3F724AD0"/>
    <w:rsid w:val="3F850180"/>
    <w:rsid w:val="3F9004D6"/>
    <w:rsid w:val="3FB6739D"/>
    <w:rsid w:val="3FD1054C"/>
    <w:rsid w:val="400E4D5E"/>
    <w:rsid w:val="403A2A18"/>
    <w:rsid w:val="40E1138C"/>
    <w:rsid w:val="40F260C6"/>
    <w:rsid w:val="413814BA"/>
    <w:rsid w:val="41872511"/>
    <w:rsid w:val="41DF1251"/>
    <w:rsid w:val="42267E42"/>
    <w:rsid w:val="424236D9"/>
    <w:rsid w:val="42466655"/>
    <w:rsid w:val="42585198"/>
    <w:rsid w:val="429C278D"/>
    <w:rsid w:val="42C82F57"/>
    <w:rsid w:val="435707E5"/>
    <w:rsid w:val="435B01A2"/>
    <w:rsid w:val="43C76AF7"/>
    <w:rsid w:val="43E97E4A"/>
    <w:rsid w:val="44194806"/>
    <w:rsid w:val="446828F0"/>
    <w:rsid w:val="45093E85"/>
    <w:rsid w:val="452E7F21"/>
    <w:rsid w:val="45C13B4D"/>
    <w:rsid w:val="45E13FD2"/>
    <w:rsid w:val="46054BCA"/>
    <w:rsid w:val="464C6AFC"/>
    <w:rsid w:val="468B0091"/>
    <w:rsid w:val="46A107C3"/>
    <w:rsid w:val="46B15CE2"/>
    <w:rsid w:val="46BE113D"/>
    <w:rsid w:val="46E44B13"/>
    <w:rsid w:val="4703508A"/>
    <w:rsid w:val="475023F8"/>
    <w:rsid w:val="479D361E"/>
    <w:rsid w:val="47B74789"/>
    <w:rsid w:val="47B916EB"/>
    <w:rsid w:val="480908C5"/>
    <w:rsid w:val="480F2B9D"/>
    <w:rsid w:val="48282920"/>
    <w:rsid w:val="485321E0"/>
    <w:rsid w:val="48546AD3"/>
    <w:rsid w:val="486D6494"/>
    <w:rsid w:val="486F5771"/>
    <w:rsid w:val="48A4418B"/>
    <w:rsid w:val="48A45734"/>
    <w:rsid w:val="48C730CC"/>
    <w:rsid w:val="48CA4868"/>
    <w:rsid w:val="48F005D3"/>
    <w:rsid w:val="49221A3F"/>
    <w:rsid w:val="4940533A"/>
    <w:rsid w:val="49547ADD"/>
    <w:rsid w:val="49732351"/>
    <w:rsid w:val="498F4AF1"/>
    <w:rsid w:val="49C05787"/>
    <w:rsid w:val="49CF518D"/>
    <w:rsid w:val="4A8E3BC6"/>
    <w:rsid w:val="4ADA1F63"/>
    <w:rsid w:val="4AE23D89"/>
    <w:rsid w:val="4B0610EB"/>
    <w:rsid w:val="4B2038D0"/>
    <w:rsid w:val="4B296E7D"/>
    <w:rsid w:val="4B79394E"/>
    <w:rsid w:val="4B7C76A6"/>
    <w:rsid w:val="4B877F28"/>
    <w:rsid w:val="4C0118B3"/>
    <w:rsid w:val="4C264E09"/>
    <w:rsid w:val="4D916BA6"/>
    <w:rsid w:val="4DC44169"/>
    <w:rsid w:val="4DE24E21"/>
    <w:rsid w:val="4DF74426"/>
    <w:rsid w:val="4E165AE9"/>
    <w:rsid w:val="4E1B19A3"/>
    <w:rsid w:val="4E48787F"/>
    <w:rsid w:val="4EF0709E"/>
    <w:rsid w:val="4F0469A4"/>
    <w:rsid w:val="4F3855EC"/>
    <w:rsid w:val="4FF77255"/>
    <w:rsid w:val="50373AF5"/>
    <w:rsid w:val="50540C73"/>
    <w:rsid w:val="50C66809"/>
    <w:rsid w:val="513C6A7B"/>
    <w:rsid w:val="51B4471F"/>
    <w:rsid w:val="521B1C6E"/>
    <w:rsid w:val="53075694"/>
    <w:rsid w:val="532D486F"/>
    <w:rsid w:val="5333545B"/>
    <w:rsid w:val="538D0E89"/>
    <w:rsid w:val="53904056"/>
    <w:rsid w:val="5450213C"/>
    <w:rsid w:val="54AD696F"/>
    <w:rsid w:val="54D24048"/>
    <w:rsid w:val="54D64CD5"/>
    <w:rsid w:val="55887D69"/>
    <w:rsid w:val="559D1FF3"/>
    <w:rsid w:val="55F710D8"/>
    <w:rsid w:val="561A0928"/>
    <w:rsid w:val="56411346"/>
    <w:rsid w:val="56423872"/>
    <w:rsid w:val="56425619"/>
    <w:rsid w:val="569E06BC"/>
    <w:rsid w:val="56B279F0"/>
    <w:rsid w:val="56CE27B7"/>
    <w:rsid w:val="56E63FF6"/>
    <w:rsid w:val="56F20F86"/>
    <w:rsid w:val="57174680"/>
    <w:rsid w:val="579D710E"/>
    <w:rsid w:val="57B9669E"/>
    <w:rsid w:val="581F22F6"/>
    <w:rsid w:val="58304CDD"/>
    <w:rsid w:val="5852097E"/>
    <w:rsid w:val="586E1E17"/>
    <w:rsid w:val="58862C35"/>
    <w:rsid w:val="58C14957"/>
    <w:rsid w:val="58CC23D2"/>
    <w:rsid w:val="58E66050"/>
    <w:rsid w:val="590E7419"/>
    <w:rsid w:val="593D044C"/>
    <w:rsid w:val="5967144B"/>
    <w:rsid w:val="5AE83A50"/>
    <w:rsid w:val="5B353193"/>
    <w:rsid w:val="5B7510D0"/>
    <w:rsid w:val="5BAB2917"/>
    <w:rsid w:val="5BFC33FA"/>
    <w:rsid w:val="5C3107A4"/>
    <w:rsid w:val="5C3B1B93"/>
    <w:rsid w:val="5C81182E"/>
    <w:rsid w:val="5C9220DF"/>
    <w:rsid w:val="5CA54B0C"/>
    <w:rsid w:val="5CA82437"/>
    <w:rsid w:val="5CFC20DC"/>
    <w:rsid w:val="5D27718B"/>
    <w:rsid w:val="5D4A15F3"/>
    <w:rsid w:val="5D69542A"/>
    <w:rsid w:val="5D783B72"/>
    <w:rsid w:val="5E0930EF"/>
    <w:rsid w:val="5E3D4D53"/>
    <w:rsid w:val="5E4717E6"/>
    <w:rsid w:val="5E55774C"/>
    <w:rsid w:val="5E8A70FF"/>
    <w:rsid w:val="5E9E133B"/>
    <w:rsid w:val="5F322AB5"/>
    <w:rsid w:val="5FE939FF"/>
    <w:rsid w:val="60045F96"/>
    <w:rsid w:val="60104DDC"/>
    <w:rsid w:val="604376AF"/>
    <w:rsid w:val="605C0804"/>
    <w:rsid w:val="60AB6421"/>
    <w:rsid w:val="616E30EF"/>
    <w:rsid w:val="6189617B"/>
    <w:rsid w:val="61A7250C"/>
    <w:rsid w:val="61B52BB6"/>
    <w:rsid w:val="61B749C2"/>
    <w:rsid w:val="62280D20"/>
    <w:rsid w:val="629775DB"/>
    <w:rsid w:val="62CA2457"/>
    <w:rsid w:val="638240A1"/>
    <w:rsid w:val="63833423"/>
    <w:rsid w:val="63A5257B"/>
    <w:rsid w:val="63BD3DCC"/>
    <w:rsid w:val="63C61741"/>
    <w:rsid w:val="63C67B5B"/>
    <w:rsid w:val="64560967"/>
    <w:rsid w:val="656B1D10"/>
    <w:rsid w:val="65B841F9"/>
    <w:rsid w:val="66022B28"/>
    <w:rsid w:val="664A38E2"/>
    <w:rsid w:val="664B39FF"/>
    <w:rsid w:val="66581E87"/>
    <w:rsid w:val="66960509"/>
    <w:rsid w:val="66FA11D5"/>
    <w:rsid w:val="674302C7"/>
    <w:rsid w:val="67722811"/>
    <w:rsid w:val="680A5986"/>
    <w:rsid w:val="680D5F4B"/>
    <w:rsid w:val="68113F51"/>
    <w:rsid w:val="686066B7"/>
    <w:rsid w:val="68621EB4"/>
    <w:rsid w:val="68E94770"/>
    <w:rsid w:val="68F949C9"/>
    <w:rsid w:val="695A4290"/>
    <w:rsid w:val="6A194D45"/>
    <w:rsid w:val="6A334932"/>
    <w:rsid w:val="6A3353FF"/>
    <w:rsid w:val="6A5D63E6"/>
    <w:rsid w:val="6A5F24D1"/>
    <w:rsid w:val="6ABA2F89"/>
    <w:rsid w:val="6ACA70C4"/>
    <w:rsid w:val="6AE347EB"/>
    <w:rsid w:val="6B330365"/>
    <w:rsid w:val="6B434AF0"/>
    <w:rsid w:val="6B57675A"/>
    <w:rsid w:val="6B87098A"/>
    <w:rsid w:val="6BBA3B00"/>
    <w:rsid w:val="6BDD7B4D"/>
    <w:rsid w:val="6BE2768C"/>
    <w:rsid w:val="6C766D7B"/>
    <w:rsid w:val="6CD176D0"/>
    <w:rsid w:val="6D7E285B"/>
    <w:rsid w:val="6DD91B58"/>
    <w:rsid w:val="6EBC0B3A"/>
    <w:rsid w:val="6EF51C7D"/>
    <w:rsid w:val="6F165095"/>
    <w:rsid w:val="6F8363E5"/>
    <w:rsid w:val="6FA80CCD"/>
    <w:rsid w:val="6FAC3CC5"/>
    <w:rsid w:val="6FC746F5"/>
    <w:rsid w:val="6FED70D1"/>
    <w:rsid w:val="70161F73"/>
    <w:rsid w:val="70317AC6"/>
    <w:rsid w:val="704B26F7"/>
    <w:rsid w:val="7055201D"/>
    <w:rsid w:val="70697B21"/>
    <w:rsid w:val="70863262"/>
    <w:rsid w:val="70A76ED3"/>
    <w:rsid w:val="71860B17"/>
    <w:rsid w:val="71BA50B4"/>
    <w:rsid w:val="723B27CC"/>
    <w:rsid w:val="72687227"/>
    <w:rsid w:val="729F49FC"/>
    <w:rsid w:val="72A03FD9"/>
    <w:rsid w:val="730B2E59"/>
    <w:rsid w:val="73406CFF"/>
    <w:rsid w:val="7383028C"/>
    <w:rsid w:val="73A25E44"/>
    <w:rsid w:val="741F68CF"/>
    <w:rsid w:val="75252DF3"/>
    <w:rsid w:val="752C27C6"/>
    <w:rsid w:val="75621536"/>
    <w:rsid w:val="75B77EEF"/>
    <w:rsid w:val="75BF3154"/>
    <w:rsid w:val="75F11D4D"/>
    <w:rsid w:val="764A07CF"/>
    <w:rsid w:val="764F6B3D"/>
    <w:rsid w:val="76CD2B7B"/>
    <w:rsid w:val="76D80645"/>
    <w:rsid w:val="76DD4B47"/>
    <w:rsid w:val="76E03371"/>
    <w:rsid w:val="777A4144"/>
    <w:rsid w:val="77BE2069"/>
    <w:rsid w:val="780E5898"/>
    <w:rsid w:val="782642CC"/>
    <w:rsid w:val="7894095E"/>
    <w:rsid w:val="78964555"/>
    <w:rsid w:val="78CF4963"/>
    <w:rsid w:val="79000679"/>
    <w:rsid w:val="791C0FE5"/>
    <w:rsid w:val="79A416F0"/>
    <w:rsid w:val="79B03EB6"/>
    <w:rsid w:val="79B052F4"/>
    <w:rsid w:val="7AA915F8"/>
    <w:rsid w:val="7AE15A5C"/>
    <w:rsid w:val="7AF0272D"/>
    <w:rsid w:val="7AF37579"/>
    <w:rsid w:val="7AF87F64"/>
    <w:rsid w:val="7B1C0C84"/>
    <w:rsid w:val="7B5A62DF"/>
    <w:rsid w:val="7B7A04A8"/>
    <w:rsid w:val="7C0C3F6D"/>
    <w:rsid w:val="7C22163C"/>
    <w:rsid w:val="7C457B4B"/>
    <w:rsid w:val="7C595075"/>
    <w:rsid w:val="7C6B07B2"/>
    <w:rsid w:val="7C9C15A1"/>
    <w:rsid w:val="7D133243"/>
    <w:rsid w:val="7D40513B"/>
    <w:rsid w:val="7D945420"/>
    <w:rsid w:val="7E394207"/>
    <w:rsid w:val="7E4007A2"/>
    <w:rsid w:val="7E457054"/>
    <w:rsid w:val="7E791CAD"/>
    <w:rsid w:val="7EA50DFB"/>
    <w:rsid w:val="7EB1784D"/>
    <w:rsid w:val="7EC86878"/>
    <w:rsid w:val="7F16390D"/>
    <w:rsid w:val="7F5962E4"/>
    <w:rsid w:val="7F752917"/>
    <w:rsid w:val="7F7F2C3F"/>
    <w:rsid w:val="7FB36445"/>
    <w:rsid w:val="7FE37961"/>
    <w:rsid w:val="7FF633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qFormat="1" w:unhideWhenUsed="0" w:uiPriority="0" w:semiHidden="0"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iPriority="99" w:semiHidden="0" w:name="Body Text 3"/>
    <w:lsdException w:qFormat="1" w:uiPriority="99"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2"/>
    <w:qFormat/>
    <w:uiPriority w:val="9"/>
    <w:pPr>
      <w:keepNext/>
      <w:keepLines/>
      <w:spacing w:before="340" w:after="330" w:line="578" w:lineRule="auto"/>
      <w:jc w:val="center"/>
      <w:outlineLvl w:val="0"/>
    </w:pPr>
    <w:rPr>
      <w:rFonts w:eastAsia="方正小标宋简体"/>
      <w:bCs/>
      <w:kern w:val="44"/>
      <w:sz w:val="44"/>
      <w:szCs w:val="44"/>
    </w:rPr>
  </w:style>
  <w:style w:type="paragraph" w:styleId="3">
    <w:name w:val="heading 2"/>
    <w:basedOn w:val="1"/>
    <w:next w:val="1"/>
    <w:link w:val="33"/>
    <w:unhideWhenUsed/>
    <w:qFormat/>
    <w:uiPriority w:val="9"/>
    <w:pPr>
      <w:keepNext/>
      <w:keepLines/>
      <w:spacing w:before="260" w:after="260" w:line="416" w:lineRule="auto"/>
      <w:jc w:val="center"/>
      <w:outlineLvl w:val="1"/>
    </w:pPr>
    <w:rPr>
      <w:rFonts w:eastAsia="方正小标宋简体" w:asciiTheme="majorHAnsi" w:hAnsiTheme="majorHAnsi" w:cstheme="majorBidi"/>
      <w:bCs/>
      <w:sz w:val="36"/>
      <w:szCs w:val="32"/>
    </w:rPr>
  </w:style>
  <w:style w:type="paragraph" w:styleId="4">
    <w:name w:val="heading 3"/>
    <w:basedOn w:val="1"/>
    <w:next w:val="1"/>
    <w:link w:val="34"/>
    <w:unhideWhenUsed/>
    <w:qFormat/>
    <w:uiPriority w:val="9"/>
    <w:pPr>
      <w:keepNext/>
      <w:keepLines/>
      <w:spacing w:before="260" w:after="260" w:line="416" w:lineRule="auto"/>
      <w:outlineLvl w:val="2"/>
    </w:pPr>
    <w:rPr>
      <w:rFonts w:ascii="Calibri" w:hAnsi="Calibri" w:eastAsia="宋体" w:cs="Times New Roman"/>
      <w:b/>
      <w:bCs/>
      <w:sz w:val="32"/>
      <w:szCs w:val="32"/>
    </w:rPr>
  </w:style>
  <w:style w:type="character" w:default="1" w:styleId="26">
    <w:name w:val="Default Paragraph Font"/>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5">
    <w:name w:val="Normal Indent"/>
    <w:basedOn w:val="1"/>
    <w:qFormat/>
    <w:uiPriority w:val="0"/>
    <w:pPr>
      <w:widowControl/>
      <w:adjustRightInd w:val="0"/>
      <w:snapToGrid w:val="0"/>
      <w:spacing w:after="200"/>
      <w:ind w:firstLine="420"/>
      <w:jc w:val="left"/>
    </w:pPr>
    <w:rPr>
      <w:rFonts w:ascii="Times New Roman" w:hAnsi="Times New Roman" w:eastAsia="微软雅黑" w:cs="Tahoma"/>
      <w:kern w:val="0"/>
      <w:sz w:val="22"/>
      <w:szCs w:val="20"/>
    </w:rPr>
  </w:style>
  <w:style w:type="paragraph" w:styleId="6">
    <w:name w:val="annotation text"/>
    <w:basedOn w:val="1"/>
    <w:semiHidden/>
    <w:unhideWhenUsed/>
    <w:qFormat/>
    <w:uiPriority w:val="99"/>
    <w:pPr>
      <w:jc w:val="left"/>
    </w:pPr>
  </w:style>
  <w:style w:type="paragraph" w:styleId="7">
    <w:name w:val="Body Text 3"/>
    <w:basedOn w:val="1"/>
    <w:link w:val="42"/>
    <w:unhideWhenUsed/>
    <w:qFormat/>
    <w:uiPriority w:val="99"/>
    <w:pPr>
      <w:spacing w:after="120"/>
    </w:pPr>
    <w:rPr>
      <w:sz w:val="16"/>
      <w:szCs w:val="16"/>
    </w:rPr>
  </w:style>
  <w:style w:type="paragraph" w:styleId="8">
    <w:name w:val="Body Text"/>
    <w:basedOn w:val="1"/>
    <w:next w:val="9"/>
    <w:qFormat/>
    <w:uiPriority w:val="99"/>
    <w:pPr>
      <w:spacing w:after="120"/>
    </w:pPr>
  </w:style>
  <w:style w:type="paragraph" w:styleId="9">
    <w:name w:val="Body Text 2"/>
    <w:basedOn w:val="1"/>
    <w:qFormat/>
    <w:uiPriority w:val="0"/>
    <w:pPr>
      <w:spacing w:after="120" w:line="480" w:lineRule="auto"/>
    </w:pPr>
  </w:style>
  <w:style w:type="paragraph" w:styleId="10">
    <w:name w:val="Body Text Indent"/>
    <w:basedOn w:val="1"/>
    <w:next w:val="11"/>
    <w:qFormat/>
    <w:uiPriority w:val="0"/>
    <w:pPr>
      <w:widowControl w:val="0"/>
      <w:adjustRightInd w:val="0"/>
      <w:snapToGrid w:val="0"/>
      <w:spacing w:after="0" w:line="360" w:lineRule="exact"/>
      <w:ind w:firstLine="630"/>
      <w:jc w:val="both"/>
      <w:textAlignment w:val="baseline"/>
    </w:pPr>
    <w:rPr>
      <w:rFonts w:ascii="宋体" w:hAnsi="宋体" w:cs="Times New Roman"/>
      <w:color w:val="auto"/>
      <w:kern w:val="0"/>
      <w:sz w:val="24"/>
      <w:szCs w:val="20"/>
    </w:rPr>
  </w:style>
  <w:style w:type="paragraph" w:styleId="11">
    <w:name w:val="envelope return"/>
    <w:basedOn w:val="1"/>
    <w:qFormat/>
    <w:uiPriority w:val="0"/>
    <w:pPr>
      <w:snapToGrid w:val="0"/>
    </w:pPr>
    <w:rPr>
      <w:rFonts w:ascii="Arial" w:hAnsi="Arial"/>
    </w:rPr>
  </w:style>
  <w:style w:type="paragraph" w:styleId="12">
    <w:name w:val="toc 3"/>
    <w:basedOn w:val="1"/>
    <w:next w:val="1"/>
    <w:unhideWhenUsed/>
    <w:qFormat/>
    <w:uiPriority w:val="39"/>
    <w:pPr>
      <w:widowControl/>
      <w:spacing w:after="100" w:line="276" w:lineRule="auto"/>
      <w:ind w:left="440"/>
      <w:jc w:val="left"/>
    </w:pPr>
    <w:rPr>
      <w:kern w:val="0"/>
      <w:sz w:val="22"/>
    </w:rPr>
  </w:style>
  <w:style w:type="paragraph" w:styleId="13">
    <w:name w:val="Plain Text"/>
    <w:basedOn w:val="1"/>
    <w:next w:val="14"/>
    <w:qFormat/>
    <w:uiPriority w:val="0"/>
    <w:rPr>
      <w:rFonts w:ascii="宋体" w:hAnsi="Courier New"/>
      <w:szCs w:val="21"/>
    </w:rPr>
  </w:style>
  <w:style w:type="paragraph" w:customStyle="1" w:styleId="14">
    <w:name w:val="Default"/>
    <w:next w:val="15"/>
    <w:qFormat/>
    <w:uiPriority w:val="0"/>
    <w:pPr>
      <w:widowControl w:val="0"/>
      <w:autoSpaceDE w:val="0"/>
      <w:autoSpaceDN w:val="0"/>
      <w:adjustRightInd w:val="0"/>
    </w:pPr>
    <w:rPr>
      <w:rFonts w:ascii="宋体" w:hAnsi="Calibri" w:eastAsia="宋体" w:cs="宋体"/>
      <w:color w:val="000000"/>
      <w:kern w:val="0"/>
      <w:sz w:val="24"/>
      <w:szCs w:val="24"/>
      <w:lang w:val="en-US" w:eastAsia="zh-CN" w:bidi="ar-SA"/>
    </w:rPr>
  </w:style>
  <w:style w:type="paragraph" w:styleId="15">
    <w:name w:val="List"/>
    <w:basedOn w:val="1"/>
    <w:next w:val="1"/>
    <w:qFormat/>
    <w:uiPriority w:val="0"/>
    <w:pPr>
      <w:snapToGrid w:val="0"/>
    </w:pPr>
    <w:rPr>
      <w:szCs w:val="24"/>
    </w:rPr>
  </w:style>
  <w:style w:type="paragraph" w:styleId="16">
    <w:name w:val="Body Text Indent 2"/>
    <w:basedOn w:val="1"/>
    <w:unhideWhenUsed/>
    <w:qFormat/>
    <w:uiPriority w:val="99"/>
    <w:pPr>
      <w:adjustRightInd w:val="0"/>
      <w:spacing w:after="120" w:line="480" w:lineRule="auto"/>
      <w:ind w:left="420" w:leftChars="200" w:firstLine="567"/>
      <w:jc w:val="left"/>
      <w:textAlignment w:val="baseline"/>
    </w:pPr>
    <w:rPr>
      <w:sz w:val="28"/>
    </w:rPr>
  </w:style>
  <w:style w:type="paragraph" w:styleId="17">
    <w:name w:val="Balloon Text"/>
    <w:basedOn w:val="1"/>
    <w:link w:val="37"/>
    <w:semiHidden/>
    <w:unhideWhenUsed/>
    <w:qFormat/>
    <w:uiPriority w:val="99"/>
    <w:rPr>
      <w:sz w:val="18"/>
      <w:szCs w:val="18"/>
    </w:rPr>
  </w:style>
  <w:style w:type="paragraph" w:styleId="18">
    <w:name w:val="footer"/>
    <w:basedOn w:val="1"/>
    <w:link w:val="31"/>
    <w:unhideWhenUsed/>
    <w:qFormat/>
    <w:uiPriority w:val="99"/>
    <w:pPr>
      <w:tabs>
        <w:tab w:val="center" w:pos="4153"/>
        <w:tab w:val="right" w:pos="8306"/>
      </w:tabs>
      <w:snapToGrid w:val="0"/>
      <w:jc w:val="left"/>
    </w:pPr>
    <w:rPr>
      <w:sz w:val="18"/>
      <w:szCs w:val="18"/>
    </w:rPr>
  </w:style>
  <w:style w:type="paragraph" w:styleId="19">
    <w:name w:val="header"/>
    <w:basedOn w:val="1"/>
    <w:link w:val="30"/>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unhideWhenUsed/>
    <w:qFormat/>
    <w:uiPriority w:val="39"/>
    <w:pPr>
      <w:widowControl/>
      <w:spacing w:after="100" w:line="276" w:lineRule="auto"/>
      <w:jc w:val="left"/>
    </w:pPr>
    <w:rPr>
      <w:kern w:val="0"/>
      <w:sz w:val="22"/>
    </w:rPr>
  </w:style>
  <w:style w:type="paragraph" w:styleId="21">
    <w:name w:val="toc 2"/>
    <w:basedOn w:val="1"/>
    <w:next w:val="1"/>
    <w:unhideWhenUsed/>
    <w:qFormat/>
    <w:uiPriority w:val="39"/>
    <w:pPr>
      <w:widowControl/>
      <w:tabs>
        <w:tab w:val="right" w:leader="dot" w:pos="8834"/>
      </w:tabs>
      <w:spacing w:after="100" w:line="276" w:lineRule="auto"/>
      <w:ind w:left="-1" w:leftChars="-1" w:hanging="2"/>
      <w:jc w:val="left"/>
    </w:pPr>
    <w:rPr>
      <w:kern w:val="0"/>
      <w:sz w:val="22"/>
    </w:rPr>
  </w:style>
  <w:style w:type="paragraph" w:styleId="22">
    <w:name w:val="Normal (Web)"/>
    <w:basedOn w:val="1"/>
    <w:qFormat/>
    <w:uiPriority w:val="99"/>
    <w:pPr>
      <w:widowControl/>
      <w:spacing w:before="100" w:beforeAutospacing="1" w:after="100" w:afterAutospacing="1"/>
      <w:jc w:val="left"/>
    </w:pPr>
    <w:rPr>
      <w:rFonts w:ascii="宋体" w:hAnsi="宋体"/>
      <w:kern w:val="0"/>
      <w:sz w:val="24"/>
      <w:szCs w:val="24"/>
    </w:rPr>
  </w:style>
  <w:style w:type="paragraph" w:styleId="23">
    <w:name w:val="Body Text First Indent 2"/>
    <w:basedOn w:val="10"/>
    <w:qFormat/>
    <w:uiPriority w:val="0"/>
    <w:pPr>
      <w:adjustRightInd w:val="0"/>
      <w:spacing w:line="360" w:lineRule="auto"/>
      <w:ind w:left="0" w:leftChars="0" w:firstLine="420"/>
      <w:textAlignment w:val="baseline"/>
    </w:pPr>
    <w:rPr>
      <w:rFonts w:eastAsia="等线" w:cs="Times New Roman"/>
      <w:color w:val="000000"/>
      <w:szCs w:val="24"/>
    </w:rPr>
  </w:style>
  <w:style w:type="table" w:styleId="25">
    <w:name w:val="Table Grid"/>
    <w:basedOn w:val="24"/>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27">
    <w:name w:val="Strong"/>
    <w:basedOn w:val="26"/>
    <w:qFormat/>
    <w:uiPriority w:val="22"/>
    <w:rPr>
      <w:b/>
      <w:bCs/>
    </w:rPr>
  </w:style>
  <w:style w:type="character" w:styleId="28">
    <w:name w:val="Hyperlink"/>
    <w:basedOn w:val="26"/>
    <w:unhideWhenUsed/>
    <w:qFormat/>
    <w:uiPriority w:val="99"/>
    <w:rPr>
      <w:color w:val="0000FF" w:themeColor="hyperlink"/>
      <w:u w:val="single"/>
      <w14:textFill>
        <w14:solidFill>
          <w14:schemeClr w14:val="hlink"/>
        </w14:solidFill>
      </w14:textFill>
    </w:rPr>
  </w:style>
  <w:style w:type="paragraph" w:customStyle="1" w:styleId="29">
    <w:name w:val="Default1"/>
    <w:qFormat/>
    <w:uiPriority w:val="0"/>
    <w:pPr>
      <w:widowControl w:val="0"/>
      <w:autoSpaceDE w:val="0"/>
      <w:autoSpaceDN w:val="0"/>
      <w:adjustRightInd w:val="0"/>
    </w:pPr>
    <w:rPr>
      <w:rFonts w:ascii="宋体" w:hAnsi="Times New Roman" w:eastAsia="仿宋_GB2312" w:cs="宋体"/>
      <w:color w:val="000000"/>
      <w:sz w:val="24"/>
      <w:szCs w:val="24"/>
      <w:lang w:val="en-US" w:eastAsia="zh-CN" w:bidi="ar-SA"/>
    </w:rPr>
  </w:style>
  <w:style w:type="character" w:customStyle="1" w:styleId="30">
    <w:name w:val="页眉 Char"/>
    <w:basedOn w:val="26"/>
    <w:link w:val="19"/>
    <w:semiHidden/>
    <w:qFormat/>
    <w:uiPriority w:val="99"/>
    <w:rPr>
      <w:sz w:val="18"/>
      <w:szCs w:val="18"/>
    </w:rPr>
  </w:style>
  <w:style w:type="character" w:customStyle="1" w:styleId="31">
    <w:name w:val="页脚 Char"/>
    <w:basedOn w:val="26"/>
    <w:link w:val="18"/>
    <w:qFormat/>
    <w:uiPriority w:val="99"/>
    <w:rPr>
      <w:sz w:val="18"/>
      <w:szCs w:val="18"/>
    </w:rPr>
  </w:style>
  <w:style w:type="character" w:customStyle="1" w:styleId="32">
    <w:name w:val="标题 1 Char"/>
    <w:basedOn w:val="26"/>
    <w:link w:val="2"/>
    <w:qFormat/>
    <w:uiPriority w:val="9"/>
    <w:rPr>
      <w:rFonts w:eastAsia="方正小标宋简体"/>
      <w:bCs/>
      <w:kern w:val="44"/>
      <w:sz w:val="44"/>
      <w:szCs w:val="44"/>
    </w:rPr>
  </w:style>
  <w:style w:type="character" w:customStyle="1" w:styleId="33">
    <w:name w:val="标题 2 Char"/>
    <w:basedOn w:val="26"/>
    <w:link w:val="3"/>
    <w:qFormat/>
    <w:uiPriority w:val="9"/>
    <w:rPr>
      <w:rFonts w:eastAsia="方正小标宋简体" w:asciiTheme="majorHAnsi" w:hAnsiTheme="majorHAnsi" w:cstheme="majorBidi"/>
      <w:bCs/>
      <w:sz w:val="36"/>
      <w:szCs w:val="32"/>
    </w:rPr>
  </w:style>
  <w:style w:type="character" w:customStyle="1" w:styleId="34">
    <w:name w:val="标题 3 Char"/>
    <w:basedOn w:val="26"/>
    <w:link w:val="4"/>
    <w:qFormat/>
    <w:uiPriority w:val="9"/>
    <w:rPr>
      <w:rFonts w:ascii="Calibri" w:hAnsi="Calibri" w:eastAsia="宋体" w:cs="Times New Roman"/>
      <w:b/>
      <w:bCs/>
      <w:sz w:val="32"/>
      <w:szCs w:val="32"/>
    </w:rPr>
  </w:style>
  <w:style w:type="paragraph" w:styleId="35">
    <w:name w:val="List Paragraph"/>
    <w:basedOn w:val="1"/>
    <w:link w:val="43"/>
    <w:qFormat/>
    <w:uiPriority w:val="34"/>
    <w:pPr>
      <w:ind w:firstLine="420" w:firstLineChars="200"/>
    </w:pPr>
  </w:style>
  <w:style w:type="paragraph" w:customStyle="1" w:styleId="36">
    <w:name w:val="TOC Heading"/>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37">
    <w:name w:val="批注框文本 Char"/>
    <w:basedOn w:val="26"/>
    <w:link w:val="17"/>
    <w:semiHidden/>
    <w:qFormat/>
    <w:uiPriority w:val="99"/>
    <w:rPr>
      <w:sz w:val="18"/>
      <w:szCs w:val="18"/>
    </w:rPr>
  </w:style>
  <w:style w:type="paragraph" w:styleId="38">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paragraph" w:customStyle="1" w:styleId="39">
    <w:name w:val="CM97"/>
    <w:basedOn w:val="14"/>
    <w:next w:val="14"/>
    <w:qFormat/>
    <w:uiPriority w:val="0"/>
    <w:pPr>
      <w:spacing w:after="373"/>
    </w:pPr>
    <w:rPr>
      <w:color w:val="auto"/>
    </w:rPr>
  </w:style>
  <w:style w:type="paragraph" w:customStyle="1" w:styleId="40">
    <w:name w:val="CM91"/>
    <w:basedOn w:val="14"/>
    <w:next w:val="14"/>
    <w:qFormat/>
    <w:uiPriority w:val="0"/>
    <w:pPr>
      <w:spacing w:after="160"/>
    </w:pPr>
    <w:rPr>
      <w:color w:val="auto"/>
    </w:rPr>
  </w:style>
  <w:style w:type="character" w:customStyle="1" w:styleId="41">
    <w:name w:val="正文文本 3 Char"/>
    <w:link w:val="7"/>
    <w:qFormat/>
    <w:uiPriority w:val="99"/>
    <w:rPr>
      <w:sz w:val="16"/>
      <w:szCs w:val="16"/>
    </w:rPr>
  </w:style>
  <w:style w:type="character" w:customStyle="1" w:styleId="42">
    <w:name w:val="正文文本 3 Char1"/>
    <w:basedOn w:val="26"/>
    <w:link w:val="7"/>
    <w:semiHidden/>
    <w:qFormat/>
    <w:uiPriority w:val="99"/>
    <w:rPr>
      <w:sz w:val="16"/>
      <w:szCs w:val="16"/>
    </w:rPr>
  </w:style>
  <w:style w:type="character" w:customStyle="1" w:styleId="43">
    <w:name w:val="列出段落 Char"/>
    <w:link w:val="35"/>
    <w:qFormat/>
    <w:uiPriority w:val="34"/>
  </w:style>
  <w:style w:type="paragraph" w:customStyle="1" w:styleId="44">
    <w:name w:val="1"/>
    <w:basedOn w:val="1"/>
    <w:next w:val="13"/>
    <w:qFormat/>
    <w:uiPriority w:val="99"/>
    <w:pPr>
      <w:widowControl w:val="0"/>
      <w:jc w:val="both"/>
    </w:pPr>
    <w:rPr>
      <w:rFonts w:ascii="宋体" w:hAnsi="Courier New"/>
      <w:kern w:val="2"/>
    </w:rPr>
  </w:style>
  <w:style w:type="paragraph" w:customStyle="1" w:styleId="45">
    <w:name w:val="WPSOffice手动目录 1"/>
    <w:qFormat/>
    <w:uiPriority w:val="0"/>
    <w:pPr>
      <w:ind w:leftChars="0"/>
    </w:pPr>
    <w:rPr>
      <w:rFonts w:asciiTheme="minorHAnsi" w:hAnsiTheme="minorHAnsi" w:eastAsiaTheme="minorEastAsia" w:cstheme="minorBidi"/>
      <w:sz w:val="20"/>
      <w:szCs w:val="20"/>
    </w:rPr>
  </w:style>
  <w:style w:type="paragraph" w:customStyle="1" w:styleId="46">
    <w:name w:val="WPSOffice手动目录 2"/>
    <w:qFormat/>
    <w:uiPriority w:val="0"/>
    <w:pPr>
      <w:ind w:leftChars="200"/>
    </w:pPr>
    <w:rPr>
      <w:rFonts w:asciiTheme="minorHAnsi" w:hAnsiTheme="minorHAnsi" w:eastAsiaTheme="minorEastAsia" w:cstheme="minorBidi"/>
      <w:sz w:val="20"/>
      <w:szCs w:val="20"/>
    </w:rPr>
  </w:style>
  <w:style w:type="paragraph" w:customStyle="1" w:styleId="47">
    <w:name w:val="WPSOffice手动目录 3"/>
    <w:qFormat/>
    <w:uiPriority w:val="0"/>
    <w:pPr>
      <w:ind w:leftChars="400"/>
    </w:pPr>
    <w:rPr>
      <w:rFonts w:asciiTheme="minorHAnsi" w:hAnsiTheme="minorHAnsi" w:eastAsiaTheme="minorEastAsia" w:cstheme="minorBidi"/>
      <w:sz w:val="20"/>
      <w:szCs w:val="20"/>
    </w:rPr>
  </w:style>
  <w:style w:type="paragraph" w:customStyle="1" w:styleId="48">
    <w:name w:val="BodyText"/>
    <w:basedOn w:val="1"/>
    <w:next w:val="49"/>
    <w:qFormat/>
    <w:uiPriority w:val="0"/>
    <w:pPr>
      <w:jc w:val="both"/>
      <w:textAlignment w:val="baseline"/>
    </w:pPr>
    <w:rPr>
      <w:rFonts w:ascii="Times New Roman" w:hAnsi="Times New Roman" w:eastAsia="宋体"/>
      <w:kern w:val="2"/>
      <w:sz w:val="28"/>
      <w:lang w:val="en-US" w:eastAsia="zh-CN" w:bidi="ar-SA"/>
    </w:rPr>
  </w:style>
  <w:style w:type="paragraph" w:customStyle="1" w:styleId="49">
    <w:name w:val="BodyText2"/>
    <w:basedOn w:val="1"/>
    <w:qFormat/>
    <w:uiPriority w:val="0"/>
    <w:pPr>
      <w:spacing w:after="120" w:line="480" w:lineRule="auto"/>
      <w:jc w:val="both"/>
      <w:textAlignment w:val="baseline"/>
    </w:pPr>
  </w:style>
  <w:style w:type="character" w:customStyle="1" w:styleId="50">
    <w:name w:val="font41"/>
    <w:basedOn w:val="26"/>
    <w:qFormat/>
    <w:uiPriority w:val="0"/>
    <w:rPr>
      <w:rFonts w:hint="eastAsia" w:ascii="宋体" w:hAnsi="宋体" w:eastAsia="宋体" w:cs="宋体"/>
      <w:color w:val="000000"/>
      <w:sz w:val="22"/>
      <w:szCs w:val="22"/>
      <w:u w:val="none"/>
    </w:rPr>
  </w:style>
  <w:style w:type="character" w:customStyle="1" w:styleId="51">
    <w:name w:val="font61"/>
    <w:basedOn w:val="26"/>
    <w:qFormat/>
    <w:uiPriority w:val="0"/>
    <w:rPr>
      <w:rFonts w:ascii="Arial" w:hAnsi="Arial" w:cs="Arial"/>
      <w:color w:val="161D2F"/>
      <w:sz w:val="21"/>
      <w:szCs w:val="21"/>
      <w:u w:val="none"/>
    </w:rPr>
  </w:style>
  <w:style w:type="character" w:customStyle="1" w:styleId="52">
    <w:name w:val="font11"/>
    <w:basedOn w:val="26"/>
    <w:qFormat/>
    <w:uiPriority w:val="0"/>
    <w:rPr>
      <w:rFonts w:hint="eastAsia" w:ascii="宋体" w:hAnsi="宋体" w:eastAsia="宋体" w:cs="宋体"/>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png"/><Relationship Id="rId21" Type="http://schemas.openxmlformats.org/officeDocument/2006/relationships/image" Target="media/image14.jpe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172</Pages>
  <Words>51214</Words>
  <Characters>56291</Characters>
  <Lines>300</Lines>
  <Paragraphs>84</Paragraphs>
  <TotalTime>0</TotalTime>
  <ScaleCrop>false</ScaleCrop>
  <LinksUpToDate>false</LinksUpToDate>
  <CharactersWithSpaces>58891</CharactersWithSpaces>
  <Application>WPS Office_11.8.6.11719_F1E327BC-269C-435d-A152-05C5408002CA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2022-04-28T08:15:00Z</dcterms:created>
  <dc:creator>陈义春</dc:creator>
  <cp:lastModifiedBy>琳</cp:lastModifiedBy>
  <cp:lastPrinted>2024-09-06T03:10:00Z</cp:lastPrinted>
  <dcterms:modified xsi:type="dcterms:W3CDTF">2024-10-30T07:51:43Z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2052-11.8.6.11719</vt:lpwstr>
  </property>
  <property fmtid="{D5CDD505-2E9C-101B-9397-08002B2CF9AE}" pid="3" name="ICV">
    <vt:lpwstr>B9176767437443398142F976A5BCF9B0_13</vt:lpwstr>
  </property>
</Properties>
</file>